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8784" w14:textId="58226278" w:rsidR="003A0B60" w:rsidRPr="00904CDF" w:rsidRDefault="009E39C1" w:rsidP="00904CDF">
      <w:pPr>
        <w:pStyle w:val="Heading1"/>
        <w:spacing w:before="0"/>
        <w:jc w:val="center"/>
        <w:rPr>
          <w:rFonts w:ascii="Arial Bold" w:hAnsi="Arial Bold" w:hint="eastAsia"/>
          <w:color w:val="auto"/>
          <w:lang w:val="en-GB"/>
        </w:rPr>
      </w:pPr>
      <w:r w:rsidRPr="00904CDF">
        <w:rPr>
          <w:rFonts w:ascii="Arial Bold" w:hAnsi="Arial Bold"/>
          <w:color w:val="auto"/>
          <w:lang w:val="en-GB"/>
        </w:rPr>
        <w:t>Enforcing</w:t>
      </w:r>
      <w:r w:rsidR="000E2DE9">
        <w:rPr>
          <w:rFonts w:ascii="Arial Bold" w:hAnsi="Arial Bold"/>
          <w:color w:val="auto"/>
          <w:lang w:val="en-GB"/>
        </w:rPr>
        <w:t xml:space="preserve"> </w:t>
      </w:r>
      <w:r w:rsidRPr="00904CDF">
        <w:rPr>
          <w:rFonts w:ascii="Arial Bold" w:hAnsi="Arial Bold"/>
          <w:color w:val="auto"/>
          <w:lang w:val="en-GB"/>
        </w:rPr>
        <w:t>Contracts</w:t>
      </w:r>
      <w:r w:rsidR="000E2DE9">
        <w:rPr>
          <w:rFonts w:ascii="Arial Bold" w:hAnsi="Arial Bold"/>
          <w:color w:val="auto"/>
          <w:lang w:val="en-GB"/>
        </w:rPr>
        <w:t xml:space="preserve"> </w:t>
      </w:r>
      <w:r w:rsidRPr="00904CDF">
        <w:rPr>
          <w:rFonts w:ascii="Arial Bold" w:hAnsi="Arial Bold"/>
          <w:color w:val="auto"/>
          <w:lang w:val="en-GB"/>
        </w:rPr>
        <w:t>for</w:t>
      </w:r>
      <w:r w:rsidR="000E2DE9">
        <w:rPr>
          <w:rFonts w:ascii="Arial Bold" w:hAnsi="Arial Bold"/>
          <w:color w:val="auto"/>
          <w:lang w:val="en-GB"/>
        </w:rPr>
        <w:t xml:space="preserve"> </w:t>
      </w:r>
      <w:r w:rsidRPr="00904CDF">
        <w:rPr>
          <w:rFonts w:ascii="Arial Bold" w:hAnsi="Arial Bold"/>
          <w:color w:val="auto"/>
          <w:lang w:val="en-GB"/>
        </w:rPr>
        <w:t>Sustainable</w:t>
      </w:r>
      <w:r w:rsidR="000E2DE9">
        <w:rPr>
          <w:rFonts w:ascii="Arial Bold" w:hAnsi="Arial Bold"/>
          <w:color w:val="auto"/>
          <w:lang w:val="en-GB"/>
        </w:rPr>
        <w:t xml:space="preserve"> </w:t>
      </w:r>
      <w:r w:rsidRPr="00904CDF">
        <w:rPr>
          <w:rFonts w:ascii="Arial Bold" w:hAnsi="Arial Bold"/>
          <w:color w:val="auto"/>
          <w:lang w:val="en-GB"/>
        </w:rPr>
        <w:t>Development:</w:t>
      </w:r>
      <w:r w:rsidR="000E2DE9">
        <w:rPr>
          <w:rFonts w:ascii="Arial Bold" w:hAnsi="Arial Bold"/>
          <w:color w:val="auto"/>
          <w:lang w:val="en-GB"/>
        </w:rPr>
        <w:t xml:space="preserve"> </w:t>
      </w:r>
      <w:r w:rsidRPr="00904CDF">
        <w:rPr>
          <w:rFonts w:ascii="Arial Bold" w:hAnsi="Arial Bold"/>
          <w:color w:val="auto"/>
          <w:lang w:val="en-GB"/>
        </w:rPr>
        <w:t>Aligning</w:t>
      </w:r>
      <w:r w:rsidR="000E2DE9">
        <w:rPr>
          <w:rFonts w:ascii="Arial Bold" w:hAnsi="Arial Bold"/>
          <w:color w:val="auto"/>
          <w:lang w:val="en-GB"/>
        </w:rPr>
        <w:t xml:space="preserve"> </w:t>
      </w:r>
      <w:r w:rsidRPr="00904CDF">
        <w:rPr>
          <w:rFonts w:ascii="Arial Bold" w:hAnsi="Arial Bold"/>
          <w:color w:val="auto"/>
          <w:lang w:val="en-GB"/>
        </w:rPr>
        <w:t>Legal</w:t>
      </w:r>
      <w:r w:rsidR="000E2DE9">
        <w:rPr>
          <w:rFonts w:ascii="Arial Bold" w:hAnsi="Arial Bold"/>
          <w:color w:val="auto"/>
          <w:lang w:val="en-GB"/>
        </w:rPr>
        <w:t xml:space="preserve"> </w:t>
      </w:r>
      <w:r w:rsidRPr="00904CDF">
        <w:rPr>
          <w:rFonts w:ascii="Arial Bold" w:hAnsi="Arial Bold"/>
          <w:color w:val="auto"/>
          <w:lang w:val="en-GB"/>
        </w:rPr>
        <w:t>Frameworks</w:t>
      </w:r>
      <w:r w:rsidR="000E2DE9">
        <w:rPr>
          <w:rFonts w:ascii="Arial Bold" w:hAnsi="Arial Bold"/>
          <w:color w:val="auto"/>
          <w:lang w:val="en-GB"/>
        </w:rPr>
        <w:t xml:space="preserve"> </w:t>
      </w:r>
      <w:r w:rsidRPr="00904CDF">
        <w:rPr>
          <w:rFonts w:ascii="Arial Bold" w:hAnsi="Arial Bold"/>
          <w:color w:val="auto"/>
          <w:lang w:val="en-GB"/>
        </w:rPr>
        <w:t>with</w:t>
      </w:r>
      <w:r w:rsidR="000E2DE9">
        <w:rPr>
          <w:rFonts w:ascii="Arial Bold" w:hAnsi="Arial Bold"/>
          <w:color w:val="auto"/>
          <w:lang w:val="en-GB"/>
        </w:rPr>
        <w:t xml:space="preserve"> </w:t>
      </w:r>
      <w:r w:rsidRPr="00904CDF">
        <w:rPr>
          <w:rFonts w:ascii="Arial Bold" w:hAnsi="Arial Bold"/>
          <w:color w:val="auto"/>
          <w:lang w:val="en-GB"/>
        </w:rPr>
        <w:t>SDG</w:t>
      </w:r>
      <w:r w:rsidR="000E2DE9">
        <w:rPr>
          <w:rFonts w:ascii="Arial Bold" w:hAnsi="Arial Bold"/>
          <w:color w:val="auto"/>
          <w:lang w:val="en-GB"/>
        </w:rPr>
        <w:t xml:space="preserve"> </w:t>
      </w:r>
      <w:r w:rsidRPr="00904CDF">
        <w:rPr>
          <w:rFonts w:ascii="Arial Bold" w:hAnsi="Arial Bold"/>
          <w:color w:val="auto"/>
          <w:lang w:val="en-GB"/>
        </w:rPr>
        <w:t>Targets</w:t>
      </w:r>
    </w:p>
    <w:p w14:paraId="6D80664A" w14:textId="6CBEA852" w:rsidR="00D3723F" w:rsidRPr="00904CDF" w:rsidRDefault="00D3723F" w:rsidP="00904CDF">
      <w:pPr>
        <w:spacing w:before="240" w:after="0" w:line="240" w:lineRule="auto"/>
        <w:jc w:val="center"/>
        <w:rPr>
          <w:rFonts w:ascii="Arial" w:hAnsi="Arial"/>
          <w:b/>
          <w:iCs/>
          <w:szCs w:val="24"/>
          <w:lang w:val="en-GB"/>
        </w:rPr>
      </w:pPr>
      <w:r w:rsidRPr="00904CDF">
        <w:rPr>
          <w:rFonts w:ascii="Arial" w:hAnsi="Arial"/>
          <w:b/>
          <w:iCs/>
          <w:szCs w:val="24"/>
          <w:lang w:val="en-GB"/>
        </w:rPr>
        <w:t>Salahaldin</w:t>
      </w:r>
      <w:r w:rsidR="000E2DE9">
        <w:rPr>
          <w:rFonts w:ascii="Arial" w:hAnsi="Arial"/>
          <w:b/>
          <w:iCs/>
          <w:szCs w:val="24"/>
          <w:lang w:val="en-GB"/>
        </w:rPr>
        <w:t xml:space="preserve"> </w:t>
      </w:r>
      <w:r w:rsidRPr="00904CDF">
        <w:rPr>
          <w:rFonts w:ascii="Arial" w:hAnsi="Arial"/>
          <w:b/>
          <w:iCs/>
          <w:szCs w:val="24"/>
          <w:lang w:val="en-GB"/>
        </w:rPr>
        <w:t>Abdulkader</w:t>
      </w:r>
      <w:r w:rsidR="000E2DE9">
        <w:rPr>
          <w:rFonts w:ascii="Arial" w:hAnsi="Arial"/>
          <w:b/>
          <w:iCs/>
          <w:szCs w:val="24"/>
          <w:lang w:val="en-GB"/>
        </w:rPr>
        <w:t xml:space="preserve"> </w:t>
      </w:r>
      <w:r w:rsidRPr="00904CDF">
        <w:rPr>
          <w:rFonts w:ascii="Arial" w:hAnsi="Arial"/>
          <w:b/>
          <w:iCs/>
          <w:szCs w:val="24"/>
          <w:lang w:val="en-GB"/>
        </w:rPr>
        <w:t>Jebarah</w:t>
      </w:r>
    </w:p>
    <w:p w14:paraId="0EE4D760" w14:textId="10D99627" w:rsidR="00904CDF" w:rsidRPr="00904CDF" w:rsidRDefault="00D3723F" w:rsidP="00904CDF">
      <w:pPr>
        <w:spacing w:after="0" w:line="240" w:lineRule="auto"/>
        <w:jc w:val="center"/>
        <w:rPr>
          <w:rFonts w:ascii="Arial" w:hAnsi="Arial"/>
          <w:b/>
          <w:bCs/>
          <w:szCs w:val="24"/>
          <w:lang w:val="en-GB"/>
        </w:rPr>
      </w:pPr>
      <w:r w:rsidRPr="00904CDF">
        <w:rPr>
          <w:rFonts w:ascii="Arial" w:hAnsi="Arial"/>
          <w:iCs/>
          <w:szCs w:val="24"/>
          <w:lang w:val="en-GB"/>
        </w:rPr>
        <w:t>Faculty</w:t>
      </w:r>
      <w:r w:rsidR="000E2DE9">
        <w:rPr>
          <w:rFonts w:ascii="Arial" w:hAnsi="Arial"/>
          <w:iCs/>
          <w:szCs w:val="24"/>
          <w:lang w:val="en-GB"/>
        </w:rPr>
        <w:t xml:space="preserve"> </w:t>
      </w:r>
      <w:r w:rsidRPr="00904CDF">
        <w:rPr>
          <w:rFonts w:ascii="Arial" w:hAnsi="Arial"/>
          <w:iCs/>
          <w:szCs w:val="24"/>
          <w:lang w:val="en-GB"/>
        </w:rPr>
        <w:t>of</w:t>
      </w:r>
      <w:r w:rsidR="000E2DE9">
        <w:rPr>
          <w:rFonts w:ascii="Arial" w:hAnsi="Arial"/>
          <w:iCs/>
          <w:szCs w:val="24"/>
          <w:lang w:val="en-GB"/>
        </w:rPr>
        <w:t xml:space="preserve"> </w:t>
      </w:r>
      <w:r w:rsidRPr="00904CDF">
        <w:rPr>
          <w:rFonts w:ascii="Arial" w:hAnsi="Arial"/>
          <w:iCs/>
          <w:szCs w:val="24"/>
          <w:lang w:val="en-GB"/>
        </w:rPr>
        <w:t>Business</w:t>
      </w:r>
      <w:r w:rsidR="00125BFD" w:rsidRPr="00904CDF">
        <w:rPr>
          <w:rFonts w:ascii="Arial" w:hAnsi="Arial"/>
          <w:iCs/>
          <w:szCs w:val="24"/>
          <w:lang w:val="en-GB"/>
        </w:rPr>
        <w:t>,</w:t>
      </w:r>
      <w:r w:rsidR="000E2DE9">
        <w:rPr>
          <w:rFonts w:ascii="Arial" w:hAnsi="Arial"/>
          <w:iCs/>
          <w:szCs w:val="24"/>
          <w:lang w:val="en-GB"/>
        </w:rPr>
        <w:t xml:space="preserve"> </w:t>
      </w:r>
      <w:r w:rsidR="00125BFD" w:rsidRPr="00904CDF">
        <w:rPr>
          <w:rFonts w:ascii="Arial" w:hAnsi="Arial"/>
          <w:iCs/>
          <w:szCs w:val="24"/>
          <w:lang w:val="en-GB"/>
        </w:rPr>
        <w:t>Suhar</w:t>
      </w:r>
      <w:r w:rsidR="000E2DE9">
        <w:rPr>
          <w:rFonts w:ascii="Arial" w:hAnsi="Arial"/>
          <w:iCs/>
          <w:szCs w:val="24"/>
          <w:lang w:val="en-GB"/>
        </w:rPr>
        <w:t xml:space="preserve"> </w:t>
      </w:r>
      <w:r w:rsidR="00125BFD" w:rsidRPr="00904CDF">
        <w:rPr>
          <w:rFonts w:ascii="Arial" w:hAnsi="Arial"/>
          <w:iCs/>
          <w:szCs w:val="24"/>
          <w:lang w:val="en-GB"/>
        </w:rPr>
        <w:t>University,</w:t>
      </w:r>
      <w:r w:rsidR="000E2DE9">
        <w:rPr>
          <w:rFonts w:ascii="Arial" w:hAnsi="Arial"/>
          <w:iCs/>
          <w:szCs w:val="24"/>
          <w:lang w:val="en-GB"/>
        </w:rPr>
        <w:t xml:space="preserve"> </w:t>
      </w:r>
      <w:r w:rsidR="00125BFD" w:rsidRPr="00904CDF">
        <w:rPr>
          <w:rFonts w:ascii="Arial" w:hAnsi="Arial"/>
          <w:iCs/>
          <w:szCs w:val="24"/>
          <w:lang w:val="en-GB"/>
        </w:rPr>
        <w:t>Oman</w:t>
      </w:r>
    </w:p>
    <w:p w14:paraId="0160973D" w14:textId="79CE1F79" w:rsidR="00C70A35" w:rsidRPr="00162BDF" w:rsidRDefault="00904CDF" w:rsidP="00904CDF">
      <w:pPr>
        <w:spacing w:after="0" w:line="240" w:lineRule="auto"/>
        <w:jc w:val="center"/>
        <w:rPr>
          <w:rFonts w:ascii="Arial" w:hAnsi="Arial"/>
          <w:iCs/>
          <w:szCs w:val="24"/>
          <w:lang w:val="fr-FR"/>
        </w:rPr>
      </w:pPr>
      <w:r w:rsidRPr="00162BDF">
        <w:rPr>
          <w:rFonts w:ascii="Arial" w:hAnsi="Arial"/>
          <w:bCs/>
          <w:szCs w:val="24"/>
          <w:lang w:val="fr-FR"/>
        </w:rPr>
        <w:t>E</w:t>
      </w:r>
      <w:r w:rsidR="00C70A35" w:rsidRPr="00162BDF">
        <w:rPr>
          <w:rFonts w:ascii="Arial" w:hAnsi="Arial"/>
          <w:bCs/>
          <w:szCs w:val="24"/>
          <w:lang w:val="fr-FR"/>
        </w:rPr>
        <w:t>mail:</w:t>
      </w:r>
      <w:r w:rsidR="000E2DE9" w:rsidRPr="00162BDF">
        <w:rPr>
          <w:rFonts w:ascii="Arial" w:hAnsi="Arial"/>
          <w:iCs/>
          <w:szCs w:val="24"/>
          <w:lang w:val="fr-FR"/>
        </w:rPr>
        <w:t xml:space="preserve"> </w:t>
      </w:r>
      <w:hyperlink r:id="rId6" w:history="1">
        <w:r w:rsidR="00C70A35" w:rsidRPr="00162BDF">
          <w:rPr>
            <w:rStyle w:val="Hyperlink"/>
            <w:rFonts w:ascii="Arial" w:hAnsi="Arial"/>
            <w:iCs/>
            <w:color w:val="auto"/>
            <w:szCs w:val="24"/>
            <w:u w:val="none"/>
            <w:lang w:val="fr-FR"/>
          </w:rPr>
          <w:t>SAbdulkader@su.edu.om</w:t>
        </w:r>
      </w:hyperlink>
    </w:p>
    <w:p w14:paraId="71E1095C" w14:textId="0617ACE2" w:rsidR="005F1C26" w:rsidRDefault="00904CDF" w:rsidP="00904CDF">
      <w:pPr>
        <w:spacing w:after="0" w:line="240" w:lineRule="auto"/>
        <w:jc w:val="center"/>
      </w:pPr>
      <w:r w:rsidRPr="00162BDF">
        <w:rPr>
          <w:rFonts w:ascii="Arial" w:hAnsi="Arial"/>
          <w:bCs/>
          <w:szCs w:val="24"/>
          <w:lang w:val="fr-FR"/>
        </w:rPr>
        <w:t>ORCI</w:t>
      </w:r>
      <w:r w:rsidR="00C70A35" w:rsidRPr="00162BDF">
        <w:rPr>
          <w:rFonts w:ascii="Arial" w:hAnsi="Arial"/>
          <w:bCs/>
          <w:szCs w:val="24"/>
          <w:lang w:val="fr-FR"/>
        </w:rPr>
        <w:t>D:</w:t>
      </w:r>
      <w:r w:rsidR="000E2DE9" w:rsidRPr="00162BDF">
        <w:rPr>
          <w:rFonts w:ascii="Arial" w:hAnsi="Arial"/>
          <w:szCs w:val="24"/>
          <w:lang w:val="fr-FR"/>
        </w:rPr>
        <w:t xml:space="preserve"> </w:t>
      </w:r>
      <w:hyperlink r:id="rId7" w:history="1">
        <w:r w:rsidR="001D6190" w:rsidRPr="00162BDF">
          <w:rPr>
            <w:rStyle w:val="Hyperlink"/>
            <w:rFonts w:ascii="Arial" w:hAnsi="Arial"/>
            <w:szCs w:val="24"/>
            <w:lang w:val="fr-FR"/>
          </w:rPr>
          <w:t>0009-0001-0762-7821</w:t>
        </w:r>
      </w:hyperlink>
    </w:p>
    <w:p w14:paraId="7B1EC319" w14:textId="77777777" w:rsidR="00162BDF" w:rsidRDefault="00162BDF" w:rsidP="00904CDF">
      <w:pPr>
        <w:spacing w:after="0" w:line="240" w:lineRule="auto"/>
        <w:jc w:val="center"/>
      </w:pPr>
    </w:p>
    <w:p w14:paraId="46D071AE" w14:textId="77777777" w:rsidR="00162BDF" w:rsidRPr="00840ECC" w:rsidRDefault="00162BDF" w:rsidP="00162BDF">
      <w:pPr>
        <w:pStyle w:val="ListParagraph"/>
        <w:spacing w:line="240" w:lineRule="auto"/>
        <w:ind w:left="0"/>
        <w:jc w:val="both"/>
        <w:rPr>
          <w:rFonts w:ascii="Arial" w:hAnsi="Arial"/>
        </w:rPr>
      </w:pPr>
      <w:r w:rsidRPr="00162BDF">
        <w:rPr>
          <w:rFonts w:ascii="Arial" w:hAnsi="Arial"/>
          <w:b/>
          <w:bCs/>
        </w:rPr>
        <w:t>Type of Paper:</w:t>
      </w:r>
      <w:r>
        <w:rPr>
          <w:rFonts w:ascii="Arial" w:hAnsi="Arial"/>
        </w:rPr>
        <w:t xml:space="preserve"> Research</w:t>
      </w:r>
    </w:p>
    <w:p w14:paraId="0C11CF6A" w14:textId="76700629" w:rsidR="00162BDF" w:rsidRPr="00761501" w:rsidRDefault="00162BDF" w:rsidP="00162BDF">
      <w:pPr>
        <w:pStyle w:val="NormalWeb"/>
        <w:spacing w:before="120" w:after="120"/>
        <w:jc w:val="both"/>
        <w:rPr>
          <w:rFonts w:ascii="Arial" w:hAnsi="Arial"/>
          <w:color w:val="000000"/>
          <w:sz w:val="22"/>
          <w:szCs w:val="22"/>
          <w:lang w:val="en-GB"/>
        </w:rPr>
      </w:pPr>
      <w:r w:rsidRPr="00761501">
        <w:rPr>
          <w:rFonts w:ascii="Arial" w:hAnsi="Arial"/>
          <w:color w:val="000000"/>
          <w:sz w:val="22"/>
          <w:szCs w:val="22"/>
          <w:lang w:val="en-GB"/>
        </w:rPr>
        <w:t>RECEIVED: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24 May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2025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/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REVISED: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24 March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2026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/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ACCEPTED: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23 April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2026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/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PUBLISHED: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/>
          <w:color w:val="000000"/>
          <w:sz w:val="22"/>
          <w:szCs w:val="22"/>
          <w:lang w:val="en-GB"/>
        </w:rPr>
        <w:t>01 June 2026</w:t>
      </w:r>
    </w:p>
    <w:p w14:paraId="48F053EC" w14:textId="77777777" w:rsidR="00162BDF" w:rsidRPr="00162BDF" w:rsidRDefault="00162BDF" w:rsidP="00904CDF">
      <w:pPr>
        <w:spacing w:after="0" w:line="240" w:lineRule="auto"/>
        <w:jc w:val="center"/>
        <w:rPr>
          <w:rFonts w:ascii="Arial" w:hAnsi="Arial"/>
          <w:szCs w:val="24"/>
          <w:lang w:val="en-GB"/>
        </w:rPr>
      </w:pPr>
    </w:p>
    <w:p w14:paraId="5B39FD51" w14:textId="7CD4E509" w:rsidR="00475194" w:rsidRPr="00162BDF" w:rsidRDefault="00904CDF" w:rsidP="00904CDF">
      <w:pPr>
        <w:pStyle w:val="Heading2"/>
        <w:spacing w:before="240" w:after="120" w:line="240" w:lineRule="auto"/>
        <w:rPr>
          <w:rFonts w:ascii="Arial" w:hAnsi="Arial"/>
          <w:color w:val="FF0000"/>
          <w:sz w:val="22"/>
          <w:lang w:val="fr-FR"/>
        </w:rPr>
      </w:pPr>
      <w:r w:rsidRPr="00162BDF">
        <w:rPr>
          <w:rFonts w:ascii="Arial" w:hAnsi="Arial"/>
          <w:color w:val="FF0000"/>
          <w:sz w:val="22"/>
          <w:lang w:val="fr-FR"/>
        </w:rPr>
        <w:t>ABSTRACT</w:t>
      </w:r>
      <w:r w:rsidR="000E2DE9" w:rsidRPr="00162BDF">
        <w:rPr>
          <w:rFonts w:ascii="Arial" w:hAnsi="Arial"/>
          <w:color w:val="FF0000"/>
          <w:sz w:val="22"/>
          <w:lang w:val="fr-FR"/>
        </w:rPr>
        <w:t xml:space="preserve"> </w:t>
      </w:r>
    </w:p>
    <w:p w14:paraId="6BC7705A" w14:textId="098F9917" w:rsidR="00286EA6" w:rsidRPr="00904CDF" w:rsidRDefault="00286EA6" w:rsidP="00904CDF">
      <w:pPr>
        <w:pStyle w:val="Heading2"/>
        <w:spacing w:before="120" w:after="120" w:line="240" w:lineRule="auto"/>
        <w:jc w:val="both"/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</w:pPr>
      <w:r w:rsidRPr="00904CDF">
        <w:rPr>
          <w:rFonts w:ascii="Arial" w:hAnsi="Arial" w:cstheme="majorHAnsi"/>
          <w:color w:val="auto"/>
          <w:sz w:val="22"/>
          <w:szCs w:val="28"/>
          <w:lang w:val="en-GB"/>
        </w:rPr>
        <w:t>Purpose:</w:t>
      </w:r>
      <w:r w:rsidR="000E2DE9">
        <w:rPr>
          <w:rFonts w:ascii="Arial" w:hAnsi="Arial" w:cstheme="majorHAnsi"/>
          <w:color w:val="auto"/>
          <w:sz w:val="22"/>
          <w:szCs w:val="28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This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article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explores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the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use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of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enforceable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contracts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to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advance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sustainable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development,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leveraging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innovative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legal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structures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for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1D6190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Sustainable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1D6190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Development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1D6190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Goal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1D6190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(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SDG</w:t>
      </w:r>
      <w:r w:rsidR="001D6190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)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implementation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and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addressing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global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challenges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such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as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inequality,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environmental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harm,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and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governance.</w:t>
      </w:r>
    </w:p>
    <w:p w14:paraId="5D2E10CC" w14:textId="471AF277" w:rsidR="00286EA6" w:rsidRPr="00904CDF" w:rsidRDefault="00286EA6" w:rsidP="00904CDF">
      <w:pPr>
        <w:pStyle w:val="Heading2"/>
        <w:spacing w:before="120" w:after="120" w:line="240" w:lineRule="auto"/>
        <w:jc w:val="both"/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</w:pPr>
      <w:r w:rsidRPr="00904CDF">
        <w:rPr>
          <w:rFonts w:ascii="Arial" w:hAnsi="Arial" w:cstheme="majorHAnsi"/>
          <w:color w:val="auto"/>
          <w:sz w:val="22"/>
          <w:szCs w:val="28"/>
          <w:lang w:val="en-GB"/>
        </w:rPr>
        <w:t>Methodology:</w:t>
      </w:r>
      <w:r w:rsidR="000E2DE9">
        <w:rPr>
          <w:rFonts w:ascii="Arial" w:hAnsi="Arial" w:cstheme="majorHAnsi"/>
          <w:color w:val="auto"/>
          <w:sz w:val="22"/>
          <w:szCs w:val="28"/>
          <w:lang w:val="en-GB"/>
        </w:rPr>
        <w:t xml:space="preserve"> </w:t>
      </w:r>
      <w:r w:rsidR="00985255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A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985255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qualitative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985255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doctrinal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985255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and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985255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comparative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985255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study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985255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of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985255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legal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985255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sources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985255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considers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985255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the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985255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enforcement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985255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of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985255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contracts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985255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and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985255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how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985255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it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985255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relates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985255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to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985255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SDGs.</w:t>
      </w:r>
    </w:p>
    <w:p w14:paraId="4B4755B9" w14:textId="66AEDCED" w:rsidR="00286EA6" w:rsidRPr="00904CDF" w:rsidRDefault="00286EA6" w:rsidP="00904CDF">
      <w:pPr>
        <w:pStyle w:val="Heading2"/>
        <w:spacing w:before="120" w:after="120" w:line="240" w:lineRule="auto"/>
        <w:jc w:val="both"/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</w:pPr>
      <w:r w:rsidRPr="00904CDF">
        <w:rPr>
          <w:rFonts w:ascii="Arial" w:hAnsi="Arial" w:cstheme="majorHAnsi"/>
          <w:color w:val="auto"/>
          <w:sz w:val="22"/>
          <w:szCs w:val="28"/>
          <w:lang w:val="en-GB"/>
        </w:rPr>
        <w:t>Findings:</w:t>
      </w:r>
      <w:r w:rsidR="000E2DE9">
        <w:rPr>
          <w:rFonts w:ascii="Arial" w:hAnsi="Arial" w:cstheme="majorHAnsi"/>
          <w:color w:val="auto"/>
          <w:sz w:val="22"/>
          <w:szCs w:val="28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Contract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enforcement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that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supports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sustainability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supports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SDGs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such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as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Peace,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Justice,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Climate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Action,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and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Reduced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Inequalities,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but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inconsistent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legal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standards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and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limited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awareness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impede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implementation.</w:t>
      </w:r>
    </w:p>
    <w:p w14:paraId="0AB07E77" w14:textId="441F1808" w:rsidR="00286EA6" w:rsidRPr="00904CDF" w:rsidRDefault="00286EA6" w:rsidP="00904CDF">
      <w:pPr>
        <w:pStyle w:val="Heading2"/>
        <w:spacing w:before="120" w:after="120" w:line="240" w:lineRule="auto"/>
        <w:jc w:val="both"/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</w:pPr>
      <w:r w:rsidRPr="00904CDF">
        <w:rPr>
          <w:rFonts w:ascii="Arial" w:hAnsi="Arial" w:cstheme="majorHAnsi"/>
          <w:color w:val="auto"/>
          <w:sz w:val="22"/>
          <w:szCs w:val="28"/>
          <w:lang w:val="en-GB"/>
        </w:rPr>
        <w:t>Originality:</w:t>
      </w:r>
      <w:r w:rsidR="000E2DE9">
        <w:rPr>
          <w:rFonts w:ascii="Arial" w:hAnsi="Arial" w:cstheme="majorHAnsi"/>
          <w:color w:val="auto"/>
          <w:sz w:val="22"/>
          <w:szCs w:val="28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Contract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enforcement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is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crucial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for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sustainable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development.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Strategies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for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incorporating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SDG</w:t>
      </w:r>
      <w:r w:rsidR="001D6190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into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legal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documents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guide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decision-makers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on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laws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and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business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strategies.</w:t>
      </w:r>
    </w:p>
    <w:p w14:paraId="2FF0500E" w14:textId="572203E6" w:rsidR="00286EA6" w:rsidRPr="00904CDF" w:rsidRDefault="00286EA6" w:rsidP="00904CDF">
      <w:pPr>
        <w:pStyle w:val="Heading2"/>
        <w:spacing w:before="120" w:after="120" w:line="240" w:lineRule="auto"/>
        <w:jc w:val="both"/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</w:pPr>
      <w:r w:rsidRPr="00904CDF">
        <w:rPr>
          <w:rFonts w:ascii="Arial" w:hAnsi="Arial" w:cstheme="majorHAnsi"/>
          <w:color w:val="auto"/>
          <w:sz w:val="22"/>
          <w:szCs w:val="28"/>
          <w:lang w:val="en-GB"/>
        </w:rPr>
        <w:t>Research</w:t>
      </w:r>
      <w:r w:rsidR="000E2DE9">
        <w:rPr>
          <w:rFonts w:ascii="Arial" w:hAnsi="Arial" w:cstheme="majorHAnsi"/>
          <w:color w:val="auto"/>
          <w:sz w:val="22"/>
          <w:szCs w:val="28"/>
          <w:lang w:val="en-GB"/>
        </w:rPr>
        <w:t xml:space="preserve"> </w:t>
      </w:r>
      <w:r w:rsidRPr="00904CDF">
        <w:rPr>
          <w:rFonts w:ascii="Arial" w:hAnsi="Arial" w:cstheme="majorHAnsi"/>
          <w:color w:val="auto"/>
          <w:sz w:val="22"/>
          <w:szCs w:val="28"/>
          <w:lang w:val="en-GB"/>
        </w:rPr>
        <w:t>Limitations:</w:t>
      </w:r>
      <w:r w:rsidR="000E2DE9">
        <w:rPr>
          <w:rFonts w:ascii="Arial" w:hAnsi="Arial" w:cstheme="majorHAnsi"/>
          <w:color w:val="auto"/>
          <w:sz w:val="22"/>
          <w:szCs w:val="28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Using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secondary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information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and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changes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in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the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law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make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it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difficult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to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general</w:t>
      </w:r>
      <w:r w:rsidR="0063089D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is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e,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underscoring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the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need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to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update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current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guidelines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.</w:t>
      </w:r>
    </w:p>
    <w:p w14:paraId="311D4D88" w14:textId="7F7945C1" w:rsidR="00286EA6" w:rsidRPr="00904CDF" w:rsidRDefault="00286EA6" w:rsidP="00904CDF">
      <w:pPr>
        <w:pStyle w:val="Heading2"/>
        <w:spacing w:before="120" w:after="120" w:line="240" w:lineRule="auto"/>
        <w:jc w:val="both"/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</w:pPr>
      <w:r w:rsidRPr="00904CDF">
        <w:rPr>
          <w:rFonts w:ascii="Arial" w:hAnsi="Arial" w:cstheme="majorHAnsi"/>
          <w:color w:val="auto"/>
          <w:sz w:val="22"/>
          <w:szCs w:val="28"/>
          <w:lang w:val="en-GB"/>
        </w:rPr>
        <w:t>Practical</w:t>
      </w:r>
      <w:r w:rsidR="000E2DE9">
        <w:rPr>
          <w:rFonts w:ascii="Arial" w:hAnsi="Arial" w:cstheme="majorHAnsi"/>
          <w:color w:val="auto"/>
          <w:sz w:val="22"/>
          <w:szCs w:val="28"/>
          <w:lang w:val="en-GB"/>
        </w:rPr>
        <w:t xml:space="preserve"> </w:t>
      </w:r>
      <w:r w:rsidRPr="00904CDF">
        <w:rPr>
          <w:rFonts w:ascii="Arial" w:hAnsi="Arial" w:cstheme="majorHAnsi"/>
          <w:color w:val="auto"/>
          <w:sz w:val="22"/>
          <w:szCs w:val="28"/>
          <w:lang w:val="en-GB"/>
        </w:rPr>
        <w:t>Implications: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Sustainability-related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provisions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and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ethical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dispute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clauses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in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contracts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encourage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fairness,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assist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vulnerable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="00E55843"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individuals,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and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help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achieve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environmental</w:t>
      </w:r>
      <w:r w:rsidR="000E2DE9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 xml:space="preserve"> </w:t>
      </w:r>
      <w:r w:rsidRPr="00904CDF">
        <w:rPr>
          <w:rFonts w:ascii="Arial" w:hAnsi="Arial" w:cstheme="majorHAnsi"/>
          <w:b w:val="0"/>
          <w:bCs w:val="0"/>
          <w:color w:val="auto"/>
          <w:sz w:val="22"/>
          <w:szCs w:val="24"/>
          <w:lang w:val="en-GB"/>
        </w:rPr>
        <w:t>goals.</w:t>
      </w:r>
    </w:p>
    <w:p w14:paraId="4E0A4494" w14:textId="5239C06D" w:rsidR="00475194" w:rsidRDefault="00475194" w:rsidP="00904CDF">
      <w:pPr>
        <w:pStyle w:val="Heading2"/>
        <w:spacing w:before="120" w:after="120" w:line="240" w:lineRule="auto"/>
        <w:jc w:val="both"/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</w:pPr>
      <w:r w:rsidRPr="001D6190">
        <w:rPr>
          <w:rFonts w:ascii="Arial" w:hAnsi="Arial" w:cstheme="majorHAnsi"/>
          <w:iCs/>
          <w:color w:val="auto"/>
          <w:sz w:val="22"/>
          <w:szCs w:val="28"/>
          <w:lang w:val="en-GB"/>
        </w:rPr>
        <w:t>Keywords</w:t>
      </w:r>
      <w:r w:rsidR="001D6190" w:rsidRPr="001D6190">
        <w:rPr>
          <w:rFonts w:ascii="Arial" w:hAnsi="Arial" w:cstheme="majorHAnsi"/>
          <w:iCs/>
          <w:color w:val="auto"/>
          <w:sz w:val="22"/>
          <w:szCs w:val="28"/>
          <w:lang w:val="en-GB"/>
        </w:rPr>
        <w:t>:</w:t>
      </w:r>
      <w:r w:rsidR="000E2DE9">
        <w:rPr>
          <w:rFonts w:ascii="Arial" w:hAnsi="Arial" w:cstheme="majorHAnsi"/>
          <w:b w:val="0"/>
          <w:bCs w:val="0"/>
          <w:iCs/>
          <w:color w:val="auto"/>
          <w:sz w:val="22"/>
          <w:szCs w:val="24"/>
          <w:lang w:val="en-GB"/>
        </w:rPr>
        <w:t xml:space="preserve"> </w:t>
      </w:r>
      <w:r w:rsidR="00E9455B" w:rsidRPr="001D6190"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  <w:t>E</w:t>
      </w:r>
      <w:r w:rsidRPr="001D6190"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  <w:t>nforcing</w:t>
      </w:r>
      <w:r w:rsidR="000E2DE9"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  <w:t xml:space="preserve"> </w:t>
      </w:r>
      <w:r w:rsidR="001D6190" w:rsidRPr="001D6190"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  <w:t>Contract;</w:t>
      </w:r>
      <w:r w:rsidR="000E2DE9"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  <w:t xml:space="preserve"> </w:t>
      </w:r>
      <w:r w:rsidRPr="001D6190"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  <w:t>SDGs</w:t>
      </w:r>
      <w:r w:rsidR="001D6190" w:rsidRPr="001D6190"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  <w:t>;</w:t>
      </w:r>
      <w:r w:rsidR="000E2DE9"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  <w:t xml:space="preserve"> </w:t>
      </w:r>
      <w:r w:rsidR="001D6190" w:rsidRPr="001D6190"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  <w:t>Developing</w:t>
      </w:r>
      <w:r w:rsidR="000E2DE9"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  <w:t xml:space="preserve"> </w:t>
      </w:r>
      <w:r w:rsidR="001D6190" w:rsidRPr="001D6190"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  <w:t>Clear</w:t>
      </w:r>
      <w:r w:rsidR="000E2DE9"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  <w:t xml:space="preserve"> </w:t>
      </w:r>
      <w:r w:rsidR="001D6190" w:rsidRPr="001D6190"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  <w:t>Laws;</w:t>
      </w:r>
      <w:r w:rsidR="000E2DE9"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  <w:t xml:space="preserve"> </w:t>
      </w:r>
      <w:r w:rsidR="001D6190" w:rsidRPr="001D6190"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  <w:t>Sustainability</w:t>
      </w:r>
      <w:r w:rsidR="000E2DE9"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  <w:t xml:space="preserve"> </w:t>
      </w:r>
      <w:r w:rsidR="001D6190" w:rsidRPr="001D6190"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  <w:t>Clauses;</w:t>
      </w:r>
      <w:r w:rsidR="000E2DE9"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  <w:t xml:space="preserve"> </w:t>
      </w:r>
      <w:r w:rsidR="001D6190" w:rsidRPr="001D6190"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  <w:t>Preventing</w:t>
      </w:r>
      <w:r w:rsidR="000E2DE9"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  <w:t xml:space="preserve"> </w:t>
      </w:r>
      <w:r w:rsidR="001D6190" w:rsidRPr="001D6190">
        <w:rPr>
          <w:rFonts w:ascii="Arial" w:hAnsi="Arial" w:cstheme="majorHAnsi"/>
          <w:b w:val="0"/>
          <w:bCs w:val="0"/>
          <w:i/>
          <w:color w:val="auto"/>
          <w:sz w:val="22"/>
          <w:szCs w:val="24"/>
          <w:lang w:val="en-GB"/>
        </w:rPr>
        <w:t>Corruption</w:t>
      </w:r>
    </w:p>
    <w:p w14:paraId="5CE36D59" w14:textId="03E19197" w:rsidR="00162BDF" w:rsidRPr="00761501" w:rsidRDefault="00162BDF" w:rsidP="00162BDF">
      <w:pPr>
        <w:pStyle w:val="NormalWeb"/>
        <w:spacing w:before="120" w:after="120"/>
        <w:jc w:val="both"/>
        <w:rPr>
          <w:rFonts w:ascii="Arial" w:hAnsi="Arial"/>
          <w:color w:val="000000"/>
          <w:sz w:val="22"/>
          <w:szCs w:val="22"/>
          <w:lang w:val="en-GB"/>
        </w:rPr>
      </w:pPr>
      <w:r w:rsidRPr="00761501">
        <w:rPr>
          <w:rFonts w:ascii="Arial" w:hAnsi="Arial"/>
          <w:color w:val="000000"/>
          <w:sz w:val="22"/>
          <w:szCs w:val="22"/>
          <w:lang w:val="en-GB"/>
        </w:rPr>
        <w:t>CITATION: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/>
          <w:bCs/>
          <w:color w:val="0E101A"/>
          <w:sz w:val="22"/>
          <w:lang w:val="en-GB"/>
        </w:rPr>
        <w:t xml:space="preserve">Jebarah, S.A.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(2026):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840ECC">
        <w:rPr>
          <w:rFonts w:ascii="Arial" w:hAnsi="Arial"/>
          <w:sz w:val="22"/>
          <w:lang w:val="en-GB"/>
        </w:rPr>
        <w:t>Enforcing</w:t>
      </w:r>
      <w:r>
        <w:rPr>
          <w:rFonts w:ascii="Arial" w:hAnsi="Arial"/>
          <w:sz w:val="22"/>
          <w:lang w:val="en-GB"/>
        </w:rPr>
        <w:t xml:space="preserve"> </w:t>
      </w:r>
      <w:r w:rsidRPr="00840ECC">
        <w:rPr>
          <w:rFonts w:ascii="Arial" w:hAnsi="Arial"/>
          <w:sz w:val="22"/>
          <w:lang w:val="en-GB"/>
        </w:rPr>
        <w:t>Contracts</w:t>
      </w:r>
      <w:r>
        <w:rPr>
          <w:rFonts w:ascii="Arial" w:hAnsi="Arial"/>
          <w:sz w:val="22"/>
          <w:lang w:val="en-GB"/>
        </w:rPr>
        <w:t xml:space="preserve"> </w:t>
      </w:r>
      <w:r w:rsidRPr="00840ECC">
        <w:rPr>
          <w:rFonts w:ascii="Arial" w:hAnsi="Arial"/>
          <w:sz w:val="22"/>
          <w:lang w:val="en-GB"/>
        </w:rPr>
        <w:t>for</w:t>
      </w:r>
      <w:r>
        <w:rPr>
          <w:rFonts w:ascii="Arial" w:hAnsi="Arial"/>
          <w:sz w:val="22"/>
          <w:lang w:val="en-GB"/>
        </w:rPr>
        <w:t xml:space="preserve"> </w:t>
      </w:r>
      <w:r w:rsidRPr="00840ECC">
        <w:rPr>
          <w:rFonts w:ascii="Arial" w:hAnsi="Arial"/>
          <w:sz w:val="22"/>
          <w:lang w:val="en-GB"/>
        </w:rPr>
        <w:t>Sustainable</w:t>
      </w:r>
      <w:r>
        <w:rPr>
          <w:rFonts w:ascii="Arial" w:hAnsi="Arial"/>
          <w:sz w:val="22"/>
          <w:lang w:val="en-GB"/>
        </w:rPr>
        <w:t xml:space="preserve"> </w:t>
      </w:r>
      <w:r w:rsidRPr="00840ECC">
        <w:rPr>
          <w:rFonts w:ascii="Arial" w:hAnsi="Arial"/>
          <w:sz w:val="22"/>
          <w:lang w:val="en-GB"/>
        </w:rPr>
        <w:t>Development:</w:t>
      </w:r>
      <w:r>
        <w:rPr>
          <w:rFonts w:ascii="Arial" w:hAnsi="Arial"/>
          <w:sz w:val="22"/>
          <w:lang w:val="en-GB"/>
        </w:rPr>
        <w:t xml:space="preserve"> </w:t>
      </w:r>
      <w:r w:rsidRPr="00840ECC">
        <w:rPr>
          <w:rFonts w:ascii="Arial" w:hAnsi="Arial"/>
          <w:sz w:val="22"/>
          <w:lang w:val="en-GB"/>
        </w:rPr>
        <w:t>Aligning</w:t>
      </w:r>
      <w:r>
        <w:rPr>
          <w:rFonts w:ascii="Arial" w:hAnsi="Arial"/>
          <w:sz w:val="22"/>
          <w:lang w:val="en-GB"/>
        </w:rPr>
        <w:t xml:space="preserve"> </w:t>
      </w:r>
      <w:r w:rsidRPr="00840ECC">
        <w:rPr>
          <w:rFonts w:ascii="Arial" w:hAnsi="Arial"/>
          <w:sz w:val="22"/>
          <w:lang w:val="en-GB"/>
        </w:rPr>
        <w:t>Legal</w:t>
      </w:r>
      <w:r>
        <w:rPr>
          <w:rFonts w:ascii="Arial" w:hAnsi="Arial"/>
          <w:sz w:val="22"/>
          <w:lang w:val="en-GB"/>
        </w:rPr>
        <w:t xml:space="preserve"> </w:t>
      </w:r>
      <w:r w:rsidRPr="00840ECC">
        <w:rPr>
          <w:rFonts w:ascii="Arial" w:hAnsi="Arial"/>
          <w:sz w:val="22"/>
          <w:lang w:val="en-GB"/>
        </w:rPr>
        <w:t>Frameworks</w:t>
      </w:r>
      <w:r>
        <w:rPr>
          <w:rFonts w:ascii="Arial" w:hAnsi="Arial"/>
          <w:sz w:val="22"/>
          <w:lang w:val="en-GB"/>
        </w:rPr>
        <w:t xml:space="preserve"> </w:t>
      </w:r>
      <w:r w:rsidRPr="00840ECC">
        <w:rPr>
          <w:rFonts w:ascii="Arial" w:hAnsi="Arial"/>
          <w:sz w:val="22"/>
          <w:lang w:val="en-GB"/>
        </w:rPr>
        <w:t>with</w:t>
      </w:r>
      <w:r>
        <w:rPr>
          <w:rFonts w:ascii="Arial" w:hAnsi="Arial"/>
          <w:sz w:val="22"/>
          <w:lang w:val="en-GB"/>
        </w:rPr>
        <w:t xml:space="preserve"> </w:t>
      </w:r>
      <w:r w:rsidRPr="00840ECC">
        <w:rPr>
          <w:rFonts w:ascii="Arial" w:hAnsi="Arial"/>
          <w:sz w:val="22"/>
          <w:lang w:val="en-GB"/>
        </w:rPr>
        <w:t>SDG</w:t>
      </w:r>
      <w:r>
        <w:rPr>
          <w:rFonts w:ascii="Arial" w:hAnsi="Arial"/>
          <w:sz w:val="22"/>
          <w:lang w:val="en-GB"/>
        </w:rPr>
        <w:t xml:space="preserve"> </w:t>
      </w:r>
      <w:r w:rsidRPr="00840ECC">
        <w:rPr>
          <w:rFonts w:ascii="Arial" w:hAnsi="Arial"/>
          <w:sz w:val="22"/>
          <w:lang w:val="en-GB"/>
        </w:rPr>
        <w:t>Targets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.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i/>
          <w:color w:val="000000"/>
          <w:sz w:val="22"/>
          <w:szCs w:val="22"/>
          <w:lang w:val="en-GB"/>
        </w:rPr>
        <w:t>World</w:t>
      </w:r>
      <w:r>
        <w:rPr>
          <w:rFonts w:ascii="Arial" w:hAnsi="Arial"/>
          <w:i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i/>
          <w:color w:val="000000"/>
          <w:sz w:val="22"/>
          <w:szCs w:val="22"/>
          <w:lang w:val="en-GB"/>
        </w:rPr>
        <w:t>Journal</w:t>
      </w:r>
      <w:r>
        <w:rPr>
          <w:rFonts w:ascii="Arial" w:hAnsi="Arial"/>
          <w:i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i/>
          <w:color w:val="000000"/>
          <w:sz w:val="22"/>
          <w:szCs w:val="22"/>
          <w:lang w:val="en-GB"/>
        </w:rPr>
        <w:t>of</w:t>
      </w:r>
      <w:r>
        <w:rPr>
          <w:rFonts w:ascii="Arial" w:hAnsi="Arial"/>
          <w:i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i/>
          <w:color w:val="000000"/>
          <w:sz w:val="22"/>
          <w:szCs w:val="22"/>
          <w:lang w:val="en-GB"/>
        </w:rPr>
        <w:t>Science,</w:t>
      </w:r>
      <w:r>
        <w:rPr>
          <w:rFonts w:ascii="Arial" w:hAnsi="Arial"/>
          <w:i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i/>
          <w:color w:val="000000"/>
          <w:sz w:val="22"/>
          <w:szCs w:val="22"/>
          <w:lang w:val="en-GB"/>
        </w:rPr>
        <w:t>Technology</w:t>
      </w:r>
      <w:r>
        <w:rPr>
          <w:rFonts w:ascii="Arial" w:hAnsi="Arial"/>
          <w:i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i/>
          <w:color w:val="000000"/>
          <w:sz w:val="22"/>
          <w:szCs w:val="22"/>
          <w:lang w:val="en-GB"/>
        </w:rPr>
        <w:t>and</w:t>
      </w:r>
      <w:r>
        <w:rPr>
          <w:rFonts w:ascii="Arial" w:hAnsi="Arial"/>
          <w:i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i/>
          <w:color w:val="000000"/>
          <w:sz w:val="22"/>
          <w:szCs w:val="22"/>
          <w:lang w:val="en-GB"/>
        </w:rPr>
        <w:t>Sustainable</w:t>
      </w:r>
      <w:r>
        <w:rPr>
          <w:rFonts w:ascii="Arial" w:hAnsi="Arial"/>
          <w:i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i/>
          <w:color w:val="000000"/>
          <w:sz w:val="22"/>
          <w:szCs w:val="22"/>
          <w:lang w:val="en-GB"/>
        </w:rPr>
        <w:t>Development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,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Vol.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/>
          <w:color w:val="000000"/>
          <w:sz w:val="22"/>
          <w:szCs w:val="22"/>
          <w:lang w:val="en-GB"/>
        </w:rPr>
        <w:t>21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,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No.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/>
          <w:color w:val="000000"/>
          <w:sz w:val="22"/>
          <w:szCs w:val="22"/>
          <w:lang w:val="en-GB"/>
        </w:rPr>
        <w:t>4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,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pp.xx-xx.</w:t>
      </w:r>
    </w:p>
    <w:p w14:paraId="7F7B71C2" w14:textId="77777777" w:rsidR="00162BDF" w:rsidRPr="00761501" w:rsidRDefault="00162BDF" w:rsidP="00162BDF">
      <w:pPr>
        <w:pStyle w:val="NormalWeb"/>
        <w:spacing w:before="120" w:after="120"/>
        <w:jc w:val="both"/>
        <w:rPr>
          <w:rFonts w:ascii="Arial" w:hAnsi="Arial"/>
          <w:color w:val="000000"/>
          <w:sz w:val="22"/>
          <w:szCs w:val="22"/>
          <w:lang w:val="en-GB"/>
        </w:rPr>
      </w:pPr>
      <w:r w:rsidRPr="00761501">
        <w:rPr>
          <w:rFonts w:ascii="Arial" w:hAnsi="Arial"/>
          <w:color w:val="000000"/>
          <w:sz w:val="22"/>
          <w:szCs w:val="22"/>
          <w:lang w:val="en-GB"/>
        </w:rPr>
        <w:t>COPYRIGHT: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©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2026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by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all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the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authors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of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the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article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above.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The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article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is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published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as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an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open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access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article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by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WASD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under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the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terms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and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conditions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of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the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Creative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Commons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Attribution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(CC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BY)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license</w:t>
      </w:r>
      <w:r>
        <w:rPr>
          <w:rFonts w:ascii="Arial" w:hAnsi="Arial"/>
          <w:color w:val="000000"/>
          <w:sz w:val="22"/>
          <w:szCs w:val="22"/>
          <w:lang w:val="en-GB"/>
        </w:rPr>
        <w:t xml:space="preserve"> </w:t>
      </w:r>
      <w:r w:rsidRPr="00761501">
        <w:rPr>
          <w:rFonts w:ascii="Arial" w:hAnsi="Arial"/>
          <w:color w:val="000000"/>
          <w:sz w:val="22"/>
          <w:szCs w:val="22"/>
          <w:lang w:val="en-GB"/>
        </w:rPr>
        <w:t>(</w:t>
      </w:r>
      <w:hyperlink r:id="rId8" w:history="1">
        <w:r w:rsidRPr="00761501">
          <w:rPr>
            <w:rStyle w:val="Hyperlink"/>
            <w:rFonts w:ascii="Arial" w:hAnsi="Arial"/>
            <w:sz w:val="22"/>
            <w:szCs w:val="22"/>
            <w:lang w:val="en-GB"/>
          </w:rPr>
          <w:t>https://creativecommons.org/licenses/by/4.0/</w:t>
        </w:r>
      </w:hyperlink>
      <w:r w:rsidRPr="00761501">
        <w:rPr>
          <w:rFonts w:ascii="Arial" w:hAnsi="Arial"/>
          <w:color w:val="000000"/>
          <w:sz w:val="22"/>
          <w:szCs w:val="22"/>
          <w:lang w:val="en-GB"/>
        </w:rPr>
        <w:t>).</w:t>
      </w:r>
    </w:p>
    <w:p w14:paraId="3EF604AB" w14:textId="77777777" w:rsidR="00162BDF" w:rsidRPr="00761501" w:rsidRDefault="00162BDF" w:rsidP="00162BDF">
      <w:pPr>
        <w:spacing w:before="120" w:after="120" w:line="240" w:lineRule="auto"/>
        <w:jc w:val="both"/>
        <w:rPr>
          <w:rFonts w:ascii="Arial" w:hAnsi="Arial" w:cs="Arial-BoldMT"/>
          <w:bCs/>
          <w:szCs w:val="18"/>
          <w:lang w:val="en-GB"/>
        </w:rPr>
      </w:pPr>
      <w:r w:rsidRPr="00761501">
        <w:rPr>
          <w:rFonts w:ascii="Arial" w:hAnsi="Arial"/>
          <w:szCs w:val="20"/>
          <w:lang w:val="en-GB"/>
        </w:rPr>
        <w:t>Left</w:t>
      </w:r>
      <w:r>
        <w:rPr>
          <w:rFonts w:ascii="Arial" w:hAnsi="Arial"/>
          <w:szCs w:val="20"/>
          <w:lang w:val="en-GB"/>
        </w:rPr>
        <w:t xml:space="preserve"> </w:t>
      </w:r>
      <w:r w:rsidRPr="00761501">
        <w:rPr>
          <w:rFonts w:ascii="Arial" w:hAnsi="Arial"/>
          <w:szCs w:val="20"/>
          <w:lang w:val="en-GB"/>
        </w:rPr>
        <w:t>hand</w:t>
      </w:r>
      <w:r>
        <w:rPr>
          <w:rFonts w:ascii="Arial" w:hAnsi="Arial"/>
          <w:szCs w:val="20"/>
          <w:lang w:val="en-GB"/>
        </w:rPr>
        <w:t xml:space="preserve"> </w:t>
      </w:r>
      <w:r w:rsidRPr="00761501">
        <w:rPr>
          <w:rFonts w:ascii="Arial" w:hAnsi="Arial"/>
          <w:szCs w:val="20"/>
          <w:lang w:val="en-GB"/>
        </w:rPr>
        <w:t>header:</w:t>
      </w:r>
      <w:r>
        <w:rPr>
          <w:rFonts w:ascii="Arial" w:hAnsi="Arial"/>
          <w:szCs w:val="20"/>
          <w:lang w:val="en-GB"/>
        </w:rPr>
        <w:t xml:space="preserve"> </w:t>
      </w:r>
      <w:r>
        <w:rPr>
          <w:rFonts w:ascii="Arial" w:hAnsi="Arial" w:cs="Arial-BoldMT"/>
          <w:bCs/>
          <w:szCs w:val="18"/>
          <w:lang w:val="en-GB"/>
        </w:rPr>
        <w:t>Jebarah</w:t>
      </w:r>
    </w:p>
    <w:p w14:paraId="7F1DEEA2" w14:textId="77777777" w:rsidR="00162BDF" w:rsidRPr="00DB2C5E" w:rsidRDefault="00162BDF" w:rsidP="00162BDF">
      <w:pPr>
        <w:spacing w:before="120" w:after="120" w:line="240" w:lineRule="auto"/>
        <w:jc w:val="both"/>
        <w:rPr>
          <w:rFonts w:ascii="Arial" w:hAnsi="Arial"/>
        </w:rPr>
      </w:pPr>
      <w:r w:rsidRPr="00DB2C5E">
        <w:rPr>
          <w:rFonts w:ascii="Arial" w:hAnsi="Arial"/>
          <w:szCs w:val="20"/>
          <w:lang w:val="en-GB"/>
        </w:rPr>
        <w:t>Right</w:t>
      </w:r>
      <w:r>
        <w:rPr>
          <w:rFonts w:ascii="Arial" w:hAnsi="Arial"/>
          <w:szCs w:val="20"/>
          <w:lang w:val="en-GB"/>
        </w:rPr>
        <w:t xml:space="preserve"> </w:t>
      </w:r>
      <w:r w:rsidRPr="00DB2C5E">
        <w:rPr>
          <w:rFonts w:ascii="Arial" w:hAnsi="Arial"/>
          <w:szCs w:val="20"/>
          <w:lang w:val="en-GB"/>
        </w:rPr>
        <w:t>hand</w:t>
      </w:r>
      <w:r>
        <w:rPr>
          <w:rFonts w:ascii="Arial" w:hAnsi="Arial"/>
          <w:szCs w:val="20"/>
          <w:lang w:val="en-GB"/>
        </w:rPr>
        <w:t xml:space="preserve"> </w:t>
      </w:r>
      <w:r w:rsidRPr="00DB2C5E">
        <w:rPr>
          <w:rFonts w:ascii="Arial" w:hAnsi="Arial"/>
          <w:szCs w:val="20"/>
          <w:lang w:val="en-GB"/>
        </w:rPr>
        <w:t>header:</w:t>
      </w:r>
      <w:r>
        <w:rPr>
          <w:rFonts w:ascii="Arial" w:hAnsi="Arial"/>
          <w:szCs w:val="20"/>
          <w:lang w:val="en-GB"/>
        </w:rPr>
        <w:t xml:space="preserve"> </w:t>
      </w:r>
      <w:r w:rsidRPr="00DB2C5E">
        <w:rPr>
          <w:rFonts w:ascii="Arial" w:hAnsi="Arial"/>
          <w:lang w:val="en-GB"/>
        </w:rPr>
        <w:t>Enforcing</w:t>
      </w:r>
      <w:r>
        <w:rPr>
          <w:rFonts w:ascii="Arial" w:hAnsi="Arial"/>
          <w:lang w:val="en-GB"/>
        </w:rPr>
        <w:t xml:space="preserve"> </w:t>
      </w:r>
      <w:r w:rsidRPr="00DB2C5E">
        <w:rPr>
          <w:rFonts w:ascii="Arial" w:hAnsi="Arial"/>
          <w:lang w:val="en-GB"/>
        </w:rPr>
        <w:t>Contracts</w:t>
      </w:r>
      <w:r>
        <w:rPr>
          <w:rFonts w:ascii="Arial" w:hAnsi="Arial"/>
          <w:lang w:val="en-GB"/>
        </w:rPr>
        <w:t xml:space="preserve"> </w:t>
      </w:r>
      <w:r w:rsidRPr="00DB2C5E">
        <w:rPr>
          <w:rFonts w:ascii="Arial" w:hAnsi="Arial"/>
          <w:lang w:val="en-GB"/>
        </w:rPr>
        <w:t>for</w:t>
      </w:r>
      <w:r>
        <w:rPr>
          <w:rFonts w:ascii="Arial" w:hAnsi="Arial"/>
          <w:lang w:val="en-GB"/>
        </w:rPr>
        <w:t xml:space="preserve"> </w:t>
      </w:r>
      <w:r w:rsidRPr="00DB2C5E">
        <w:rPr>
          <w:rFonts w:ascii="Arial" w:hAnsi="Arial"/>
          <w:lang w:val="en-GB"/>
        </w:rPr>
        <w:t>Sustainable</w:t>
      </w:r>
      <w:r>
        <w:rPr>
          <w:rFonts w:ascii="Arial" w:hAnsi="Arial"/>
          <w:lang w:val="en-GB"/>
        </w:rPr>
        <w:t xml:space="preserve"> </w:t>
      </w:r>
      <w:r w:rsidRPr="00DB2C5E">
        <w:rPr>
          <w:rFonts w:ascii="Arial" w:hAnsi="Arial"/>
          <w:lang w:val="en-GB"/>
        </w:rPr>
        <w:t>Development</w:t>
      </w:r>
    </w:p>
    <w:p w14:paraId="500822FC" w14:textId="77777777" w:rsidR="00162BDF" w:rsidRPr="00162BDF" w:rsidRDefault="00162BDF" w:rsidP="00162BDF"/>
    <w:p w14:paraId="70ADC06C" w14:textId="0CE04389" w:rsidR="003A0B60" w:rsidRPr="00904CDF" w:rsidRDefault="00904CDF" w:rsidP="00904CDF">
      <w:pPr>
        <w:pStyle w:val="Heading2"/>
        <w:spacing w:before="240" w:after="240" w:line="240" w:lineRule="auto"/>
        <w:rPr>
          <w:rFonts w:ascii="Arial" w:hAnsi="Arial"/>
          <w:sz w:val="22"/>
          <w:lang w:val="en-GB"/>
        </w:rPr>
      </w:pPr>
      <w:r w:rsidRPr="00904CDF">
        <w:rPr>
          <w:rFonts w:ascii="Arial" w:hAnsi="Arial"/>
          <w:color w:val="FF0000"/>
          <w:sz w:val="22"/>
          <w:lang w:val="en-GB"/>
        </w:rPr>
        <w:lastRenderedPageBreak/>
        <w:t>INTRODUCTION</w:t>
      </w:r>
    </w:p>
    <w:p w14:paraId="54BBD789" w14:textId="66269EA8" w:rsidR="003A0B60" w:rsidRPr="00904CDF" w:rsidRDefault="009E39C1" w:rsidP="00904CDF">
      <w:pPr>
        <w:spacing w:before="24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Enforceable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constitute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vital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yet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often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neglected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aspect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rule-of-law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promotion,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character</w:t>
      </w:r>
      <w:r w:rsidR="0063089D">
        <w:rPr>
          <w:rFonts w:ascii="Arial" w:hAnsi="Arial"/>
          <w:lang w:val="en-GB"/>
        </w:rPr>
        <w:t>is</w:t>
      </w:r>
      <w:r w:rsidRPr="00904CDF">
        <w:rPr>
          <w:rFonts w:ascii="Arial" w:hAnsi="Arial"/>
          <w:lang w:val="en-GB"/>
        </w:rPr>
        <w:t>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precision,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evidence-based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outcomes,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open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procedures.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Aligning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legal-system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reform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relevant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Goal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(SDG)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targets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amplifies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impact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assistance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attracts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high-level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interest.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examining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their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connection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infrastructure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investment,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innovation,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SDG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achievement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economies,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becomes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possible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clear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analytical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promotional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priorities.</w:t>
      </w:r>
    </w:p>
    <w:p w14:paraId="31154FA0" w14:textId="25D9AAD5" w:rsidR="002A6498" w:rsidRPr="00904CDF" w:rsidRDefault="002A6498" w:rsidP="00904CDF">
      <w:pPr>
        <w:spacing w:before="240" w:after="240" w:line="240" w:lineRule="auto"/>
        <w:ind w:firstLine="357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Enforceable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not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used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1D6190">
        <w:rPr>
          <w:rFonts w:ascii="Arial" w:hAnsi="Arial"/>
          <w:lang w:val="en-GB"/>
        </w:rPr>
        <w:t>ir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full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potential</w:t>
      </w:r>
      <w:r w:rsidR="001D6190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even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though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important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attainment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SDGs.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literature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place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insufficient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explain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how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can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systematically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adjusted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SDG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targets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various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frameworks.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</w:t>
      </w:r>
      <w:r w:rsidR="001D6190">
        <w:rPr>
          <w:rFonts w:ascii="Arial" w:hAnsi="Arial"/>
          <w:lang w:val="en-GB"/>
        </w:rPr>
        <w:t>is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paper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fills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this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gap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offering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comparative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assessment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offering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practical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processes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incorporate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sustainability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contractual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structures.</w:t>
      </w:r>
    </w:p>
    <w:p w14:paraId="1C312671" w14:textId="4B715090" w:rsidR="004E501E" w:rsidRPr="00904CDF" w:rsidRDefault="004E501E" w:rsidP="00904CDF">
      <w:pPr>
        <w:spacing w:before="240" w:after="240" w:line="240" w:lineRule="auto"/>
        <w:ind w:firstLine="357"/>
        <w:jc w:val="both"/>
        <w:rPr>
          <w:rFonts w:ascii="Arial" w:hAnsi="Arial"/>
          <w:szCs w:val="24"/>
          <w:lang w:val="en-GB"/>
        </w:rPr>
      </w:pPr>
      <w:r w:rsidRPr="0038778D">
        <w:rPr>
          <w:rFonts w:ascii="Arial" w:hAnsi="Arial"/>
          <w:bCs/>
          <w:szCs w:val="24"/>
          <w:lang w:val="en-GB"/>
        </w:rPr>
        <w:t>Fig</w:t>
      </w:r>
      <w:r w:rsidR="001D6190" w:rsidRPr="0038778D">
        <w:rPr>
          <w:rFonts w:ascii="Arial" w:hAnsi="Arial"/>
          <w:bCs/>
          <w:szCs w:val="24"/>
          <w:lang w:val="en-GB"/>
        </w:rPr>
        <w:t>ure</w:t>
      </w:r>
      <w:r w:rsidR="000E2DE9">
        <w:rPr>
          <w:rFonts w:ascii="Arial" w:hAnsi="Arial"/>
          <w:bCs/>
          <w:szCs w:val="24"/>
          <w:lang w:val="en-GB"/>
        </w:rPr>
        <w:t xml:space="preserve"> </w:t>
      </w:r>
      <w:r w:rsidRPr="0038778D">
        <w:rPr>
          <w:rFonts w:ascii="Arial" w:hAnsi="Arial"/>
          <w:bCs/>
          <w:szCs w:val="24"/>
          <w:lang w:val="en-GB"/>
        </w:rPr>
        <w:t>1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depicts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the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steps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involved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in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contract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enforcement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and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DC5666" w:rsidRPr="00904CDF">
        <w:rPr>
          <w:rFonts w:ascii="Arial" w:hAnsi="Arial"/>
          <w:szCs w:val="24"/>
          <w:lang w:val="en-GB"/>
        </w:rPr>
        <w:t>their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DC5666" w:rsidRPr="00904CDF">
        <w:rPr>
          <w:rFonts w:ascii="Arial" w:hAnsi="Arial"/>
          <w:szCs w:val="24"/>
          <w:lang w:val="en-GB"/>
        </w:rPr>
        <w:t>relationship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to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the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SDGs.</w:t>
      </w:r>
    </w:p>
    <w:p w14:paraId="37D4AC74" w14:textId="0AE07C06" w:rsidR="00102396" w:rsidRPr="00904CDF" w:rsidRDefault="0070285A" w:rsidP="00904CDF">
      <w:pPr>
        <w:spacing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noProof/>
        </w:rPr>
        <w:drawing>
          <wp:inline distT="0" distB="0" distL="0" distR="0" wp14:anchorId="6102AB59" wp14:editId="5D028E6D">
            <wp:extent cx="5486400" cy="3826276"/>
            <wp:effectExtent l="0" t="0" r="0" b="3175"/>
            <wp:docPr id="1245980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9801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76F4C" w14:textId="3E0F2488" w:rsidR="0076083D" w:rsidRDefault="00ED2A91" w:rsidP="00904CDF">
      <w:pPr>
        <w:spacing w:before="120" w:after="120" w:line="240" w:lineRule="auto"/>
        <w:jc w:val="both"/>
        <w:rPr>
          <w:rFonts w:ascii="Arial" w:hAnsi="Arial"/>
          <w:b/>
          <w:bCs/>
          <w:lang w:val="en-GB"/>
        </w:rPr>
      </w:pPr>
      <w:r w:rsidRPr="00904CDF">
        <w:rPr>
          <w:rFonts w:ascii="Arial" w:hAnsi="Arial"/>
          <w:b/>
          <w:bCs/>
          <w:lang w:val="en-GB"/>
        </w:rPr>
        <w:t>Fig</w:t>
      </w:r>
      <w:r w:rsidR="00F07D2A">
        <w:rPr>
          <w:rFonts w:ascii="Arial" w:hAnsi="Arial"/>
          <w:b/>
          <w:bCs/>
          <w:lang w:val="en-GB"/>
        </w:rPr>
        <w:t>ure</w:t>
      </w:r>
      <w:r w:rsidR="000E2DE9">
        <w:rPr>
          <w:rFonts w:ascii="Arial" w:hAnsi="Arial"/>
          <w:b/>
          <w:bCs/>
          <w:lang w:val="en-GB"/>
        </w:rPr>
        <w:t xml:space="preserve"> </w:t>
      </w:r>
      <w:r w:rsidRPr="00904CDF">
        <w:rPr>
          <w:rFonts w:ascii="Arial" w:hAnsi="Arial"/>
          <w:b/>
          <w:bCs/>
          <w:lang w:val="en-GB"/>
        </w:rPr>
        <w:t>1:</w:t>
      </w:r>
      <w:r w:rsidR="000E2DE9">
        <w:rPr>
          <w:rFonts w:ascii="Arial" w:hAnsi="Arial"/>
          <w:b/>
          <w:bCs/>
          <w:lang w:val="en-GB"/>
        </w:rPr>
        <w:t xml:space="preserve"> </w:t>
      </w:r>
      <w:r w:rsidR="00904CDF" w:rsidRPr="00904CDF">
        <w:rPr>
          <w:rFonts w:ascii="Arial" w:hAnsi="Arial"/>
          <w:b/>
          <w:bCs/>
          <w:lang w:val="en-GB"/>
        </w:rPr>
        <w:t>Contract</w:t>
      </w:r>
      <w:r w:rsidR="000E2DE9">
        <w:rPr>
          <w:rFonts w:ascii="Arial" w:hAnsi="Arial"/>
          <w:b/>
          <w:bCs/>
          <w:lang w:val="en-GB"/>
        </w:rPr>
        <w:t xml:space="preserve"> </w:t>
      </w:r>
      <w:r w:rsidR="00904CDF" w:rsidRPr="00904CDF">
        <w:rPr>
          <w:rFonts w:ascii="Arial" w:hAnsi="Arial"/>
          <w:b/>
          <w:bCs/>
          <w:lang w:val="en-GB"/>
        </w:rPr>
        <w:t>Enforcement</w:t>
      </w:r>
      <w:r w:rsidR="000E2DE9">
        <w:rPr>
          <w:rFonts w:ascii="Arial" w:hAnsi="Arial"/>
          <w:b/>
          <w:bCs/>
          <w:lang w:val="en-GB"/>
        </w:rPr>
        <w:t xml:space="preserve"> </w:t>
      </w:r>
      <w:r w:rsidR="00904CDF" w:rsidRPr="00904CDF">
        <w:rPr>
          <w:rFonts w:ascii="Arial" w:hAnsi="Arial"/>
          <w:b/>
          <w:bCs/>
          <w:lang w:val="en-GB"/>
        </w:rPr>
        <w:t>Steps</w:t>
      </w:r>
    </w:p>
    <w:p w14:paraId="172F9476" w14:textId="4F478B2B" w:rsidR="00904CDF" w:rsidRPr="00904CDF" w:rsidRDefault="00904CDF" w:rsidP="00904CDF">
      <w:pPr>
        <w:spacing w:before="120" w:after="240" w:line="240" w:lineRule="auto"/>
        <w:jc w:val="both"/>
        <w:rPr>
          <w:rFonts w:ascii="Arial" w:hAnsi="Arial"/>
          <w:bCs/>
          <w:sz w:val="18"/>
          <w:lang w:val="en-GB"/>
        </w:rPr>
      </w:pPr>
      <w:r w:rsidRPr="00904CDF">
        <w:rPr>
          <w:rFonts w:ascii="Arial" w:hAnsi="Arial"/>
          <w:bCs/>
          <w:i/>
          <w:sz w:val="18"/>
          <w:lang w:val="en-GB"/>
        </w:rPr>
        <w:t>Source</w:t>
      </w:r>
      <w:r w:rsidRPr="00904CDF">
        <w:rPr>
          <w:rFonts w:ascii="Arial" w:hAnsi="Arial"/>
          <w:bCs/>
          <w:sz w:val="18"/>
          <w:lang w:val="en-GB"/>
        </w:rPr>
        <w:t>:</w:t>
      </w:r>
      <w:r w:rsidR="000E2DE9">
        <w:rPr>
          <w:rFonts w:ascii="Arial" w:hAnsi="Arial"/>
          <w:bCs/>
          <w:sz w:val="18"/>
          <w:lang w:val="en-GB"/>
        </w:rPr>
        <w:t xml:space="preserve"> </w:t>
      </w:r>
      <w:r w:rsidR="00562B3E">
        <w:rPr>
          <w:rFonts w:ascii="Arial" w:hAnsi="Arial"/>
          <w:bCs/>
          <w:sz w:val="18"/>
          <w:lang w:val="en-GB"/>
        </w:rPr>
        <w:t>Constructed</w:t>
      </w:r>
      <w:r w:rsidR="000E2DE9">
        <w:rPr>
          <w:rFonts w:ascii="Arial" w:hAnsi="Arial"/>
          <w:bCs/>
          <w:sz w:val="18"/>
          <w:lang w:val="en-GB"/>
        </w:rPr>
        <w:t xml:space="preserve"> </w:t>
      </w:r>
      <w:r w:rsidR="00562B3E">
        <w:rPr>
          <w:rFonts w:ascii="Arial" w:hAnsi="Arial"/>
          <w:bCs/>
          <w:sz w:val="18"/>
          <w:lang w:val="en-GB"/>
        </w:rPr>
        <w:t>by</w:t>
      </w:r>
      <w:r w:rsidR="000E2DE9">
        <w:rPr>
          <w:rFonts w:ascii="Arial" w:hAnsi="Arial"/>
          <w:bCs/>
          <w:sz w:val="18"/>
          <w:lang w:val="en-GB"/>
        </w:rPr>
        <w:t xml:space="preserve"> </w:t>
      </w:r>
      <w:r w:rsidR="00562B3E">
        <w:rPr>
          <w:rFonts w:ascii="Arial" w:hAnsi="Arial"/>
          <w:bCs/>
          <w:sz w:val="18"/>
          <w:lang w:val="en-GB"/>
        </w:rPr>
        <w:t>author</w:t>
      </w:r>
    </w:p>
    <w:p w14:paraId="2B61C5E8" w14:textId="16584829" w:rsidR="00562B89" w:rsidRPr="000E2DE9" w:rsidRDefault="00562B89" w:rsidP="00904CDF">
      <w:pPr>
        <w:spacing w:before="240" w:after="240" w:line="240" w:lineRule="auto"/>
        <w:jc w:val="both"/>
        <w:rPr>
          <w:rFonts w:ascii="Arial" w:hAnsi="Arial"/>
          <w:b/>
          <w:color w:val="FF0000"/>
          <w:szCs w:val="24"/>
          <w:lang w:val="en-GB"/>
        </w:rPr>
      </w:pPr>
      <w:r w:rsidRPr="000E2DE9">
        <w:rPr>
          <w:rFonts w:ascii="Arial" w:hAnsi="Arial"/>
          <w:b/>
          <w:color w:val="FF0000"/>
          <w:szCs w:val="24"/>
          <w:lang w:val="en-GB"/>
        </w:rPr>
        <w:t>RESEARCH</w:t>
      </w:r>
      <w:r w:rsidR="000E2DE9" w:rsidRPr="000E2DE9">
        <w:rPr>
          <w:rFonts w:ascii="Arial" w:hAnsi="Arial"/>
          <w:b/>
          <w:color w:val="FF0000"/>
          <w:szCs w:val="24"/>
          <w:lang w:val="en-GB"/>
        </w:rPr>
        <w:t xml:space="preserve"> </w:t>
      </w:r>
      <w:r w:rsidRPr="000E2DE9">
        <w:rPr>
          <w:rFonts w:ascii="Arial" w:hAnsi="Arial"/>
          <w:b/>
          <w:color w:val="FF0000"/>
          <w:szCs w:val="24"/>
          <w:lang w:val="en-GB"/>
        </w:rPr>
        <w:t>METHODOLOGY</w:t>
      </w:r>
    </w:p>
    <w:p w14:paraId="3A9A2B11" w14:textId="555C9305" w:rsidR="00985255" w:rsidRPr="00904CDF" w:rsidRDefault="00985255" w:rsidP="00904CDF">
      <w:pPr>
        <w:spacing w:before="240" w:after="240" w:line="240" w:lineRule="auto"/>
        <w:jc w:val="both"/>
        <w:rPr>
          <w:rFonts w:ascii="Arial" w:hAnsi="Arial"/>
          <w:szCs w:val="24"/>
          <w:lang w:val="en-GB"/>
        </w:rPr>
      </w:pPr>
      <w:r w:rsidRPr="00904CDF">
        <w:rPr>
          <w:rFonts w:ascii="Arial" w:hAnsi="Arial"/>
          <w:szCs w:val="24"/>
          <w:lang w:val="en-GB"/>
        </w:rPr>
        <w:t>This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paper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uses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a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qualitative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doctrinal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and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comparative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legal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methodology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to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investigate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the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benefits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of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enforceable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contracts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in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promoting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sustainable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development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and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harmon</w:t>
      </w:r>
      <w:r w:rsidR="0063089D">
        <w:rPr>
          <w:rFonts w:ascii="Arial" w:hAnsi="Arial"/>
          <w:szCs w:val="24"/>
          <w:lang w:val="en-GB"/>
        </w:rPr>
        <w:t>is</w:t>
      </w:r>
      <w:r w:rsidRPr="00904CDF">
        <w:rPr>
          <w:rFonts w:ascii="Arial" w:hAnsi="Arial"/>
          <w:szCs w:val="24"/>
          <w:lang w:val="en-GB"/>
        </w:rPr>
        <w:t>ing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the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law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with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the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SDGs.</w:t>
      </w:r>
    </w:p>
    <w:p w14:paraId="2368F28F" w14:textId="25734163" w:rsidR="00985255" w:rsidRPr="00904CDF" w:rsidRDefault="001D6190" w:rsidP="00904CDF">
      <w:pPr>
        <w:spacing w:before="240" w:after="240" w:line="240" w:lineRule="auto"/>
        <w:ind w:firstLine="357"/>
        <w:jc w:val="both"/>
        <w:rPr>
          <w:rFonts w:ascii="Arial" w:hAnsi="Arial"/>
          <w:szCs w:val="24"/>
          <w:lang w:val="en-GB"/>
        </w:rPr>
      </w:pPr>
      <w:r>
        <w:rPr>
          <w:rFonts w:ascii="Arial" w:hAnsi="Arial"/>
          <w:szCs w:val="24"/>
          <w:lang w:val="en-GB"/>
        </w:rPr>
        <w:t>The</w:t>
      </w:r>
      <w:r w:rsidR="000E2DE9">
        <w:rPr>
          <w:rFonts w:ascii="Arial" w:hAnsi="Arial"/>
          <w:szCs w:val="24"/>
          <w:lang w:val="en-GB"/>
        </w:rPr>
        <w:t xml:space="preserve"> </w:t>
      </w:r>
      <w:r>
        <w:rPr>
          <w:rFonts w:ascii="Arial" w:hAnsi="Arial"/>
          <w:szCs w:val="24"/>
          <w:lang w:val="en-GB"/>
        </w:rPr>
        <w:t>paper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is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founded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on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the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study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of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secondary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sources,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such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as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international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legal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instruments,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national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law,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academic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literature,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and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reports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of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international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organ</w:t>
      </w:r>
      <w:r w:rsidR="0063089D">
        <w:rPr>
          <w:rFonts w:ascii="Arial" w:hAnsi="Arial"/>
          <w:szCs w:val="24"/>
          <w:lang w:val="en-GB"/>
        </w:rPr>
        <w:t>is</w:t>
      </w:r>
      <w:r w:rsidR="00985255" w:rsidRPr="00904CDF">
        <w:rPr>
          <w:rFonts w:ascii="Arial" w:hAnsi="Arial"/>
          <w:szCs w:val="24"/>
          <w:lang w:val="en-GB"/>
        </w:rPr>
        <w:t>ations.</w:t>
      </w:r>
      <w:r w:rsidR="000E2DE9">
        <w:rPr>
          <w:rFonts w:ascii="Arial" w:hAnsi="Arial"/>
          <w:szCs w:val="24"/>
          <w:lang w:val="en-GB"/>
        </w:rPr>
        <w:t xml:space="preserve"> </w:t>
      </w:r>
      <w:r>
        <w:rPr>
          <w:rFonts w:ascii="Arial" w:hAnsi="Arial"/>
          <w:szCs w:val="24"/>
          <w:lang w:val="en-GB"/>
        </w:rPr>
        <w:t>A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lastRenderedPageBreak/>
        <w:t>comparative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approach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is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applied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to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evaluate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the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differences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between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civil,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common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and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hybrid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systems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as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far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as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the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enforcement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of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contract</w:t>
      </w:r>
      <w:r>
        <w:rPr>
          <w:rFonts w:ascii="Arial" w:hAnsi="Arial"/>
          <w:szCs w:val="24"/>
          <w:lang w:val="en-GB"/>
        </w:rPr>
        <w:t>s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is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985255" w:rsidRPr="00904CDF">
        <w:rPr>
          <w:rFonts w:ascii="Arial" w:hAnsi="Arial"/>
          <w:szCs w:val="24"/>
          <w:lang w:val="en-GB"/>
        </w:rPr>
        <w:t>concerned.</w:t>
      </w:r>
    </w:p>
    <w:p w14:paraId="5DB2A3AE" w14:textId="54A3E43A" w:rsidR="00985255" w:rsidRPr="00904CDF" w:rsidRDefault="00985255" w:rsidP="00904CDF">
      <w:pPr>
        <w:spacing w:before="240" w:after="240" w:line="240" w:lineRule="auto"/>
        <w:ind w:firstLine="357"/>
        <w:jc w:val="both"/>
        <w:rPr>
          <w:rFonts w:ascii="Arial" w:hAnsi="Arial"/>
          <w:szCs w:val="24"/>
          <w:lang w:val="en-GB"/>
        </w:rPr>
      </w:pPr>
      <w:r w:rsidRPr="00904CDF">
        <w:rPr>
          <w:rFonts w:ascii="Arial" w:hAnsi="Arial"/>
          <w:szCs w:val="24"/>
          <w:lang w:val="en-GB"/>
        </w:rPr>
        <w:t>A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thematic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analysis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is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also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employed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in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the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study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to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anal</w:t>
      </w:r>
      <w:r w:rsidR="0063089D">
        <w:rPr>
          <w:rFonts w:ascii="Arial" w:hAnsi="Arial"/>
          <w:szCs w:val="24"/>
          <w:lang w:val="en-GB"/>
        </w:rPr>
        <w:t>ys</w:t>
      </w:r>
      <w:r w:rsidRPr="00904CDF">
        <w:rPr>
          <w:rFonts w:ascii="Arial" w:hAnsi="Arial"/>
          <w:szCs w:val="24"/>
          <w:lang w:val="en-GB"/>
        </w:rPr>
        <w:t>e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the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impact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of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the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mentioned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areas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on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SDG-related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outcomes: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judicial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efficiency,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dispute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resolution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mechanisms,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and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digital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contracts.</w:t>
      </w:r>
    </w:p>
    <w:p w14:paraId="13770FD1" w14:textId="32AD1A3B" w:rsidR="00985255" w:rsidRPr="00904CDF" w:rsidRDefault="00985255" w:rsidP="00904CDF">
      <w:pPr>
        <w:spacing w:before="240" w:after="240" w:line="240" w:lineRule="auto"/>
        <w:ind w:firstLine="357"/>
        <w:jc w:val="both"/>
        <w:rPr>
          <w:rFonts w:ascii="Arial" w:hAnsi="Arial"/>
          <w:szCs w:val="24"/>
          <w:lang w:val="en-GB"/>
        </w:rPr>
      </w:pPr>
      <w:r w:rsidRPr="00904CDF">
        <w:rPr>
          <w:rFonts w:ascii="Arial" w:hAnsi="Arial"/>
          <w:szCs w:val="24"/>
          <w:lang w:val="en-GB"/>
        </w:rPr>
        <w:t>It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is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policy-oriented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research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1A2783">
        <w:rPr>
          <w:rFonts w:ascii="Arial" w:hAnsi="Arial"/>
          <w:szCs w:val="24"/>
          <w:lang w:val="en-GB"/>
        </w:rPr>
        <w:t>that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attempts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to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offer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practical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recommendations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on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how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law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systems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can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be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enhanced.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1A2783">
        <w:rPr>
          <w:rFonts w:ascii="Arial" w:hAnsi="Arial"/>
          <w:szCs w:val="24"/>
          <w:lang w:val="en-GB"/>
        </w:rPr>
        <w:t>However,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it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is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restricted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1A2783">
        <w:rPr>
          <w:rFonts w:ascii="Arial" w:hAnsi="Arial"/>
          <w:szCs w:val="24"/>
          <w:lang w:val="en-GB"/>
        </w:rPr>
        <w:t>as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1A2783">
        <w:rPr>
          <w:rFonts w:ascii="Arial" w:hAnsi="Arial"/>
          <w:szCs w:val="24"/>
          <w:lang w:val="en-GB"/>
        </w:rPr>
        <w:t>it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rel</w:t>
      </w:r>
      <w:r w:rsidR="001A2783">
        <w:rPr>
          <w:rFonts w:ascii="Arial" w:hAnsi="Arial"/>
          <w:szCs w:val="24"/>
          <w:lang w:val="en-GB"/>
        </w:rPr>
        <w:t>ies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on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secondary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data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and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1A2783">
        <w:rPr>
          <w:rFonts w:ascii="Arial" w:hAnsi="Arial"/>
          <w:szCs w:val="24"/>
          <w:lang w:val="en-GB"/>
        </w:rPr>
        <w:t>there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1A2783">
        <w:rPr>
          <w:rFonts w:ascii="Arial" w:hAnsi="Arial"/>
          <w:szCs w:val="24"/>
          <w:lang w:val="en-GB"/>
        </w:rPr>
        <w:t>is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1A2783">
        <w:rPr>
          <w:rFonts w:ascii="Arial" w:hAnsi="Arial"/>
          <w:szCs w:val="24"/>
          <w:lang w:val="en-GB"/>
        </w:rPr>
        <w:t>a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lack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of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primary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empirical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evidence.</w:t>
      </w:r>
    </w:p>
    <w:p w14:paraId="07FB48B2" w14:textId="71BBF3F6" w:rsidR="003A0B60" w:rsidRPr="00AF57A1" w:rsidRDefault="00AF57A1" w:rsidP="00AF57A1">
      <w:pPr>
        <w:pStyle w:val="Heading2"/>
        <w:spacing w:before="240" w:after="240" w:line="240" w:lineRule="auto"/>
        <w:jc w:val="both"/>
        <w:rPr>
          <w:rFonts w:ascii="Arial" w:hAnsi="Arial"/>
          <w:color w:val="FF0000"/>
          <w:sz w:val="22"/>
          <w:lang w:val="en-GB"/>
        </w:rPr>
      </w:pPr>
      <w:r w:rsidRPr="00AF57A1">
        <w:rPr>
          <w:rFonts w:ascii="Arial" w:hAnsi="Arial"/>
          <w:color w:val="FF0000"/>
          <w:sz w:val="22"/>
          <w:lang w:val="en-GB"/>
        </w:rPr>
        <w:t>THEORETICAL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FOUNDATIONS: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CONTRACTS,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DEVELOPMENT,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AND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SUSTAINABLE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OUTCOMES</w:t>
      </w:r>
    </w:p>
    <w:p w14:paraId="4E20781B" w14:textId="12CEA65E" w:rsidR="003A0B60" w:rsidRPr="00904CDF" w:rsidRDefault="009E39C1" w:rsidP="00AF57A1">
      <w:pPr>
        <w:spacing w:before="24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An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extensive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theory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has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been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since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emergence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modern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economic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analysis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mid-twentieth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century,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followed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emergence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theory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economics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governance</w:t>
      </w:r>
      <w:r w:rsidR="000E2DE9">
        <w:rPr>
          <w:rFonts w:ascii="Arial" w:hAnsi="Arial"/>
          <w:lang w:val="en-GB"/>
        </w:rPr>
        <w:t xml:space="preserve"> </w:t>
      </w:r>
      <w:r w:rsidR="00562B3E">
        <w:rPr>
          <w:rFonts w:ascii="Arial" w:hAnsi="Arial"/>
          <w:lang w:val="en-GB"/>
        </w:rPr>
        <w:t>(Walsh</w:t>
      </w:r>
      <w:r w:rsidR="000E2DE9">
        <w:rPr>
          <w:rFonts w:ascii="Arial" w:hAnsi="Arial"/>
          <w:lang w:val="en-GB"/>
        </w:rPr>
        <w:t xml:space="preserve"> </w:t>
      </w:r>
      <w:r w:rsidR="00562B3E" w:rsidRPr="0038778D">
        <w:rPr>
          <w:rFonts w:ascii="Arial" w:hAnsi="Arial"/>
          <w:i/>
          <w:lang w:val="en-GB"/>
        </w:rPr>
        <w:t>et</w:t>
      </w:r>
      <w:r w:rsidR="000E2DE9">
        <w:rPr>
          <w:rFonts w:ascii="Arial" w:hAnsi="Arial"/>
          <w:i/>
          <w:lang w:val="en-GB"/>
        </w:rPr>
        <w:t xml:space="preserve"> </w:t>
      </w:r>
      <w:r w:rsidR="00562B3E" w:rsidRPr="0038778D">
        <w:rPr>
          <w:rFonts w:ascii="Arial" w:hAnsi="Arial"/>
          <w:i/>
          <w:lang w:val="en-GB"/>
        </w:rPr>
        <w:t>al</w:t>
      </w:r>
      <w:r w:rsidR="00562B3E">
        <w:rPr>
          <w:rFonts w:ascii="Arial" w:hAnsi="Arial"/>
          <w:lang w:val="en-GB"/>
        </w:rPr>
        <w:t>.,</w:t>
      </w:r>
      <w:r w:rsidR="000E2DE9">
        <w:rPr>
          <w:rFonts w:ascii="Arial" w:hAnsi="Arial"/>
          <w:lang w:val="en-GB"/>
        </w:rPr>
        <w:t xml:space="preserve"> </w:t>
      </w:r>
      <w:r w:rsidR="00562B3E">
        <w:rPr>
          <w:rFonts w:ascii="Arial" w:hAnsi="Arial"/>
          <w:lang w:val="en-GB"/>
        </w:rPr>
        <w:t>2022)</w:t>
      </w:r>
      <w:r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lie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heart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financial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transactions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principal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means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clearly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defining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expectations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sharing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risks.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Apparent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obscure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deficits,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especially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water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sector,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infrastructure,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energy,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other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essential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sectors,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reinforce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need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reliable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contracting.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Secure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rights,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protection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against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arbitrary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changes,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predictable,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timely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resolution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through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formal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courts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contribute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="00F978D0" w:rsidRPr="00904CDF">
        <w:rPr>
          <w:rFonts w:ascii="Arial" w:hAnsi="Arial"/>
          <w:lang w:val="en-GB"/>
        </w:rPr>
        <w:t>effective</w:t>
      </w:r>
      <w:r w:rsidR="000E2DE9">
        <w:rPr>
          <w:rFonts w:ascii="Arial" w:hAnsi="Arial"/>
          <w:lang w:val="en-GB"/>
        </w:rPr>
        <w:t xml:space="preserve"> </w:t>
      </w:r>
      <w:r w:rsidR="00F978D0" w:rsidRPr="00904CDF">
        <w:rPr>
          <w:rFonts w:ascii="Arial" w:hAnsi="Arial"/>
          <w:lang w:val="en-GB"/>
        </w:rPr>
        <w:t>governance;</w:t>
      </w:r>
      <w:r w:rsidR="000E2DE9">
        <w:rPr>
          <w:rFonts w:ascii="Arial" w:hAnsi="Arial"/>
          <w:lang w:val="en-GB"/>
        </w:rPr>
        <w:t xml:space="preserve"> </w:t>
      </w:r>
      <w:r w:rsidR="00F978D0" w:rsidRPr="00904CDF">
        <w:rPr>
          <w:rFonts w:ascii="Arial" w:hAnsi="Arial"/>
          <w:lang w:val="en-GB"/>
        </w:rPr>
        <w:t>appropriate</w:t>
      </w:r>
      <w:r w:rsidR="000E2DE9">
        <w:rPr>
          <w:rFonts w:ascii="Arial" w:hAnsi="Arial"/>
          <w:lang w:val="en-GB"/>
        </w:rPr>
        <w:t xml:space="preserve"> </w:t>
      </w:r>
      <w:r w:rsidR="00F978D0"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="00F978D0" w:rsidRPr="00904CDF">
        <w:rPr>
          <w:rFonts w:ascii="Arial" w:hAnsi="Arial"/>
          <w:lang w:val="en-GB"/>
        </w:rPr>
        <w:t>prioritisation</w:t>
      </w:r>
      <w:r w:rsidR="000E2DE9">
        <w:rPr>
          <w:rFonts w:ascii="Arial" w:hAnsi="Arial"/>
          <w:lang w:val="en-GB"/>
        </w:rPr>
        <w:t xml:space="preserve"> </w:t>
      </w:r>
      <w:r w:rsidR="00F978D0" w:rsidRPr="00904CDF">
        <w:rPr>
          <w:rFonts w:ascii="Arial" w:hAnsi="Arial"/>
          <w:lang w:val="en-GB"/>
        </w:rPr>
        <w:t>helps</w:t>
      </w:r>
      <w:r w:rsidR="000E2DE9">
        <w:rPr>
          <w:rFonts w:ascii="Arial" w:hAnsi="Arial"/>
          <w:lang w:val="en-GB"/>
        </w:rPr>
        <w:t xml:space="preserve"> </w:t>
      </w:r>
      <w:r w:rsidR="00F978D0" w:rsidRPr="00904CDF">
        <w:rPr>
          <w:rFonts w:ascii="Arial" w:hAnsi="Arial"/>
          <w:lang w:val="en-GB"/>
        </w:rPr>
        <w:t>maximis</w:t>
      </w:r>
      <w:r w:rsidRPr="00904CDF">
        <w:rPr>
          <w:rFonts w:ascii="Arial" w:hAnsi="Arial"/>
          <w:lang w:val="en-GB"/>
        </w:rPr>
        <w:t>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results.</w:t>
      </w:r>
    </w:p>
    <w:p w14:paraId="4EAC7A6D" w14:textId="0B791EFA" w:rsidR="003A0B60" w:rsidRPr="00904CDF" w:rsidRDefault="009E39C1" w:rsidP="00904CDF">
      <w:pPr>
        <w:spacing w:before="240" w:after="240" w:line="240" w:lineRule="auto"/>
        <w:ind w:firstLine="357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Reliable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significantly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influences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investment,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innovation,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infrastructure,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public</w:t>
      </w:r>
      <w:r w:rsidR="0063089D">
        <w:rPr>
          <w:rFonts w:ascii="Arial" w:hAnsi="Arial"/>
          <w:lang w:val="en-GB"/>
        </w:rPr>
        <w:t>-</w:t>
      </w:r>
      <w:r w:rsidRPr="00904CDF">
        <w:rPr>
          <w:rFonts w:ascii="Arial" w:hAnsi="Arial"/>
          <w:lang w:val="en-GB"/>
        </w:rPr>
        <w:t>private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partnership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(PPP)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sector.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Existing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mechanisms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through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which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reliable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contributes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infrastructure,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energy,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PPP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outcomes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can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illuminated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by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understanding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formal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risk-allocation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devices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contain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incentives,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response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mechanisms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linked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design,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other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vital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features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(Almarri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Boussabaine,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2025)</w:t>
      </w:r>
      <w:r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infrastructure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domain,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predictable,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speedy,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non-arbitrary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resolution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enhances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financing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prospects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enabling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investors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make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informed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decisions.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Public</w:t>
      </w:r>
      <w:r w:rsidR="0063089D">
        <w:rPr>
          <w:rFonts w:ascii="Arial" w:hAnsi="Arial"/>
          <w:lang w:val="en-GB"/>
        </w:rPr>
        <w:t>-</w:t>
      </w:r>
      <w:r w:rsidRPr="00904CDF">
        <w:rPr>
          <w:rFonts w:ascii="Arial" w:hAnsi="Arial"/>
          <w:lang w:val="en-GB"/>
        </w:rPr>
        <w:t>private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agreements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can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assign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performance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incentives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improve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service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quality.</w:t>
      </w:r>
      <w:r w:rsidR="000E2DE9">
        <w:rPr>
          <w:rFonts w:ascii="Arial" w:hAnsi="Arial"/>
          <w:lang w:val="en-GB"/>
        </w:rPr>
        <w:t xml:space="preserve"> </w:t>
      </w:r>
    </w:p>
    <w:p w14:paraId="49E1808A" w14:textId="59D05EA4" w:rsidR="003A0B60" w:rsidRPr="00AF57A1" w:rsidRDefault="00AF57A1" w:rsidP="00AF57A1">
      <w:pPr>
        <w:pStyle w:val="Heading2"/>
        <w:spacing w:before="240" w:after="240" w:line="240" w:lineRule="auto"/>
        <w:jc w:val="both"/>
        <w:rPr>
          <w:rFonts w:ascii="Arial" w:hAnsi="Arial"/>
          <w:color w:val="FF0000"/>
          <w:sz w:val="22"/>
          <w:lang w:val="en-GB"/>
        </w:rPr>
      </w:pPr>
      <w:r w:rsidRPr="00AF57A1">
        <w:rPr>
          <w:rFonts w:ascii="Arial" w:hAnsi="Arial"/>
          <w:color w:val="FF0000"/>
          <w:sz w:val="22"/>
          <w:lang w:val="en-GB"/>
        </w:rPr>
        <w:t>INTERNATIONAL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STANDARDS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AND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SDG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ALIGNMENT</w:t>
      </w:r>
    </w:p>
    <w:p w14:paraId="6B0CF8E9" w14:textId="1AF34EC0" w:rsidR="003A0B60" w:rsidRPr="00904CDF" w:rsidRDefault="009E39C1" w:rsidP="00AF57A1">
      <w:pPr>
        <w:spacing w:before="24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Unpacking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SDG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alignment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reveals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varying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degrees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relevance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across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1A2783">
        <w:rPr>
          <w:rFonts w:ascii="Arial" w:hAnsi="Arial"/>
          <w:lang w:val="en-GB"/>
        </w:rPr>
        <w:t>17</w:t>
      </w:r>
      <w:r w:rsidR="000E2DE9">
        <w:rPr>
          <w:rFonts w:ascii="Arial" w:hAnsi="Arial"/>
          <w:lang w:val="en-GB"/>
        </w:rPr>
        <w:t xml:space="preserve"> </w:t>
      </w:r>
      <w:r w:rsidR="001A2783">
        <w:rPr>
          <w:rFonts w:ascii="Arial" w:hAnsi="Arial"/>
          <w:lang w:val="en-GB"/>
        </w:rPr>
        <w:t>SD</w:t>
      </w:r>
      <w:r w:rsidRPr="00904CDF">
        <w:rPr>
          <w:rFonts w:ascii="Arial" w:hAnsi="Arial"/>
          <w:lang w:val="en-GB"/>
        </w:rPr>
        <w:t>Gs.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During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drafting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2030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Agenda,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</w:t>
      </w:r>
      <w:r w:rsidR="001A2783">
        <w:rPr>
          <w:rFonts w:ascii="Arial" w:hAnsi="Arial"/>
          <w:lang w:val="en-GB"/>
        </w:rPr>
        <w:t>nited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</w:t>
      </w:r>
      <w:r w:rsidR="001A2783">
        <w:rPr>
          <w:rFonts w:ascii="Arial" w:hAnsi="Arial"/>
          <w:lang w:val="en-GB"/>
        </w:rPr>
        <w:t>ations</w:t>
      </w:r>
      <w:r w:rsidR="000E2DE9">
        <w:rPr>
          <w:rFonts w:ascii="Arial" w:hAnsi="Arial"/>
          <w:lang w:val="en-GB"/>
        </w:rPr>
        <w:t xml:space="preserve"> </w:t>
      </w:r>
      <w:r w:rsidR="001A2783">
        <w:rPr>
          <w:rFonts w:ascii="Arial" w:hAnsi="Arial"/>
          <w:lang w:val="en-GB"/>
        </w:rPr>
        <w:t>(UN)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unequivocally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acknowledged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single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goal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would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suffice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required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transformation;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now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integrated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whole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continues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generate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debate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(Abd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Aziz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Basir,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2018)</w:t>
      </w:r>
      <w:r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economies,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link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between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remains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strong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1A2783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crucially</w:t>
      </w:r>
      <w:r w:rsidR="001A2783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interest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tangible</w:t>
      </w:r>
      <w:r w:rsidR="00473A15" w:rsidRPr="00904CDF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further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progress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helps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unlock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additional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funding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from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donor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countries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organis</w:t>
      </w:r>
      <w:r w:rsidRPr="00904CDF">
        <w:rPr>
          <w:rFonts w:ascii="Arial" w:hAnsi="Arial"/>
          <w:lang w:val="en-GB"/>
        </w:rPr>
        <w:t>ations.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emphasis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original</w:t>
      </w:r>
      <w:r w:rsidR="000E2DE9">
        <w:rPr>
          <w:rFonts w:ascii="Arial" w:hAnsi="Arial"/>
          <w:lang w:val="en-GB"/>
        </w:rPr>
        <w:t xml:space="preserve"> </w:t>
      </w:r>
      <w:r w:rsidR="001A2783">
        <w:rPr>
          <w:rFonts w:ascii="Arial" w:hAnsi="Arial"/>
          <w:lang w:val="en-GB"/>
        </w:rPr>
        <w:t>77</w:t>
      </w:r>
      <w:r w:rsidR="001A2783" w:rsidRPr="0038778D">
        <w:rPr>
          <w:rFonts w:ascii="Arial" w:hAnsi="Arial"/>
          <w:vertAlign w:val="superscript"/>
          <w:lang w:val="en-GB"/>
        </w:rPr>
        <w:t>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General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Assembly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debate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remained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intact</w:t>
      </w:r>
      <w:r w:rsidR="000E2DE9">
        <w:rPr>
          <w:rFonts w:ascii="Arial" w:hAnsi="Arial"/>
          <w:lang w:val="en-GB"/>
        </w:rPr>
        <w:t xml:space="preserve"> </w:t>
      </w:r>
      <w:r w:rsidR="00F61016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enforceable</w:t>
      </w:r>
      <w:r w:rsidR="00F61016" w:rsidRPr="00904CDF">
        <w:rPr>
          <w:rFonts w:ascii="Arial" w:hAnsi="Arial"/>
          <w:lang w:val="en-GB"/>
        </w:rPr>
        <w:t>;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widely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available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essential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developing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infrastructure</w:t>
      </w:r>
      <w:r w:rsidR="000E2DE9">
        <w:rPr>
          <w:rFonts w:ascii="Arial" w:hAnsi="Arial"/>
          <w:lang w:val="en-GB"/>
        </w:rPr>
        <w:t xml:space="preserve"> </w:t>
      </w:r>
      <w:r w:rsidR="00473A15" w:rsidRPr="00904CDF">
        <w:rPr>
          <w:rFonts w:ascii="Arial" w:hAnsi="Arial"/>
          <w:lang w:val="en-GB"/>
        </w:rPr>
        <w:t>through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multitude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avenues</w:t>
      </w:r>
      <w:r w:rsidR="00473A15" w:rsidRPr="00904CDF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including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highly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visible,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high-impact,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fungible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areas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energy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transport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infrastructure,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well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="00C14E04" w:rsidRPr="00904CDF">
        <w:rPr>
          <w:rFonts w:ascii="Arial" w:hAnsi="Arial"/>
          <w:lang w:val="en-GB"/>
        </w:rPr>
        <w:t>PPPs</w:t>
      </w:r>
      <w:r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Consequently,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compliance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chiefly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concerned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SDG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Target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16.3;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enhancement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offers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possibilities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contribute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Targets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8.1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9.5.</w:t>
      </w:r>
    </w:p>
    <w:p w14:paraId="253BCE8F" w14:textId="2D26139E" w:rsidR="005A4C6C" w:rsidRPr="00904CDF" w:rsidRDefault="005A4C6C" w:rsidP="00AF57A1">
      <w:pPr>
        <w:spacing w:before="240" w:after="240" w:line="240" w:lineRule="auto"/>
        <w:ind w:firstLine="357"/>
        <w:jc w:val="both"/>
        <w:rPr>
          <w:rFonts w:ascii="Arial" w:hAnsi="Arial"/>
          <w:lang w:val="en-GB"/>
        </w:rPr>
      </w:pPr>
      <w:r w:rsidRPr="00AF57A1">
        <w:rPr>
          <w:rFonts w:ascii="Arial" w:hAnsi="Arial"/>
          <w:bCs/>
          <w:szCs w:val="24"/>
          <w:lang w:val="en-GB"/>
        </w:rPr>
        <w:t>Table</w:t>
      </w:r>
      <w:r w:rsidR="000E2DE9">
        <w:rPr>
          <w:rFonts w:ascii="Arial" w:hAnsi="Arial"/>
          <w:bCs/>
          <w:szCs w:val="24"/>
          <w:lang w:val="en-GB"/>
        </w:rPr>
        <w:t xml:space="preserve"> </w:t>
      </w:r>
      <w:r w:rsidRPr="00AF57A1">
        <w:rPr>
          <w:rFonts w:ascii="Arial" w:hAnsi="Arial"/>
          <w:bCs/>
          <w:szCs w:val="24"/>
          <w:lang w:val="en-GB"/>
        </w:rPr>
        <w:t>1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AF57A1">
        <w:rPr>
          <w:rFonts w:ascii="Arial" w:hAnsi="Arial"/>
          <w:szCs w:val="24"/>
          <w:lang w:val="en-GB"/>
        </w:rPr>
        <w:t>outlines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significant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improvements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in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contracts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that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5236BC" w:rsidRPr="00904CDF">
        <w:rPr>
          <w:rFonts w:ascii="Arial" w:hAnsi="Arial"/>
          <w:szCs w:val="24"/>
          <w:lang w:val="en-GB"/>
        </w:rPr>
        <w:t>align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5236BC" w:rsidRPr="00904CDF">
        <w:rPr>
          <w:rFonts w:ascii="Arial" w:hAnsi="Arial"/>
          <w:szCs w:val="24"/>
          <w:lang w:val="en-GB"/>
        </w:rPr>
        <w:t>legal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5236BC" w:rsidRPr="00904CDF">
        <w:rPr>
          <w:rFonts w:ascii="Arial" w:hAnsi="Arial"/>
          <w:szCs w:val="24"/>
          <w:lang w:val="en-GB"/>
        </w:rPr>
        <w:t>agreements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5236BC" w:rsidRPr="00904CDF">
        <w:rPr>
          <w:rFonts w:ascii="Arial" w:hAnsi="Arial"/>
          <w:szCs w:val="24"/>
          <w:lang w:val="en-GB"/>
        </w:rPr>
        <w:t>with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5236BC" w:rsidRPr="00904CDF">
        <w:rPr>
          <w:rFonts w:ascii="Arial" w:hAnsi="Arial"/>
          <w:szCs w:val="24"/>
          <w:lang w:val="en-GB"/>
        </w:rPr>
        <w:t>the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5236BC" w:rsidRPr="00904CDF">
        <w:rPr>
          <w:rFonts w:ascii="Arial" w:hAnsi="Arial"/>
          <w:szCs w:val="24"/>
          <w:lang w:val="en-GB"/>
        </w:rPr>
        <w:t>UN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5236BC" w:rsidRPr="00904CDF">
        <w:rPr>
          <w:rFonts w:ascii="Arial" w:hAnsi="Arial"/>
          <w:szCs w:val="24"/>
          <w:lang w:val="en-GB"/>
        </w:rPr>
        <w:t>SDGs</w:t>
      </w:r>
      <w:r w:rsidRPr="00904CDF">
        <w:rPr>
          <w:rFonts w:ascii="Arial" w:hAnsi="Arial"/>
          <w:szCs w:val="24"/>
          <w:lang w:val="en-GB"/>
        </w:rPr>
        <w:t>.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These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developments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5236BC" w:rsidRPr="00904CDF">
        <w:rPr>
          <w:rFonts w:ascii="Arial" w:hAnsi="Arial"/>
          <w:szCs w:val="24"/>
          <w:lang w:val="en-GB"/>
        </w:rPr>
        <w:t>provide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5236BC" w:rsidRPr="00904CDF">
        <w:rPr>
          <w:rFonts w:ascii="Arial" w:hAnsi="Arial"/>
          <w:szCs w:val="24"/>
          <w:lang w:val="en-GB"/>
        </w:rPr>
        <w:t>a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5236BC" w:rsidRPr="00904CDF">
        <w:rPr>
          <w:rFonts w:ascii="Arial" w:hAnsi="Arial"/>
          <w:szCs w:val="24"/>
          <w:lang w:val="en-GB"/>
        </w:rPr>
        <w:t>means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5236BC" w:rsidRPr="00904CDF">
        <w:rPr>
          <w:rFonts w:ascii="Arial" w:hAnsi="Arial"/>
          <w:szCs w:val="24"/>
          <w:lang w:val="en-GB"/>
        </w:rPr>
        <w:t>to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5236BC" w:rsidRPr="00904CDF">
        <w:rPr>
          <w:rFonts w:ascii="Arial" w:hAnsi="Arial"/>
          <w:szCs w:val="24"/>
          <w:lang w:val="en-GB"/>
        </w:rPr>
        <w:t>directly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5236BC" w:rsidRPr="00904CDF">
        <w:rPr>
          <w:rFonts w:ascii="Arial" w:hAnsi="Arial"/>
          <w:szCs w:val="24"/>
          <w:lang w:val="en-GB"/>
        </w:rPr>
        <w:t>incorporate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5236BC" w:rsidRPr="00904CDF">
        <w:rPr>
          <w:rFonts w:ascii="Arial" w:hAnsi="Arial"/>
          <w:szCs w:val="24"/>
          <w:lang w:val="en-GB"/>
        </w:rPr>
        <w:t>sustainability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5236BC" w:rsidRPr="00904CDF">
        <w:rPr>
          <w:rFonts w:ascii="Arial" w:hAnsi="Arial"/>
          <w:szCs w:val="24"/>
          <w:lang w:val="en-GB"/>
        </w:rPr>
        <w:t>principle</w:t>
      </w:r>
      <w:r w:rsidRPr="00904CDF">
        <w:rPr>
          <w:rFonts w:ascii="Arial" w:hAnsi="Arial"/>
          <w:szCs w:val="24"/>
          <w:lang w:val="en-GB"/>
        </w:rPr>
        <w:t>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into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business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agreements.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These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contractual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instruments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show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how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private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contracts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might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be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used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to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904CDF">
        <w:rPr>
          <w:rFonts w:ascii="Arial" w:hAnsi="Arial"/>
          <w:szCs w:val="24"/>
          <w:lang w:val="en-GB"/>
        </w:rPr>
        <w:t>further</w:t>
      </w:r>
      <w:r w:rsidR="00562B3E">
        <w:rPr>
          <w:rFonts w:ascii="Arial" w:hAnsi="Arial"/>
          <w:szCs w:val="24"/>
          <w:lang w:val="en-GB"/>
        </w:rPr>
        <w:t>,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5236BC" w:rsidRPr="00904CDF">
        <w:rPr>
          <w:rFonts w:ascii="Arial" w:hAnsi="Arial"/>
          <w:szCs w:val="24"/>
          <w:lang w:val="en-GB"/>
        </w:rPr>
        <w:t>broader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5236BC" w:rsidRPr="00904CDF">
        <w:rPr>
          <w:rFonts w:ascii="Arial" w:hAnsi="Arial"/>
          <w:szCs w:val="24"/>
          <w:lang w:val="en-GB"/>
        </w:rPr>
        <w:t>goals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5236BC" w:rsidRPr="00904CDF">
        <w:rPr>
          <w:rFonts w:ascii="Arial" w:hAnsi="Arial"/>
          <w:szCs w:val="24"/>
          <w:lang w:val="en-GB"/>
        </w:rPr>
        <w:t>of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5236BC" w:rsidRPr="00904CDF">
        <w:rPr>
          <w:rFonts w:ascii="Arial" w:hAnsi="Arial"/>
          <w:szCs w:val="24"/>
          <w:lang w:val="en-GB"/>
        </w:rPr>
        <w:t>global</w:t>
      </w:r>
      <w:r w:rsidR="000E2DE9">
        <w:rPr>
          <w:rFonts w:ascii="Arial" w:hAnsi="Arial"/>
          <w:szCs w:val="24"/>
          <w:lang w:val="en-GB"/>
        </w:rPr>
        <w:t xml:space="preserve"> </w:t>
      </w:r>
      <w:r w:rsidR="0084704A" w:rsidRPr="00904CDF">
        <w:rPr>
          <w:rFonts w:ascii="Arial" w:hAnsi="Arial"/>
          <w:szCs w:val="24"/>
          <w:lang w:val="en-GB"/>
        </w:rPr>
        <w:t>growth</w:t>
      </w:r>
      <w:r w:rsidRPr="00904CDF">
        <w:rPr>
          <w:rFonts w:ascii="Arial" w:hAnsi="Arial"/>
          <w:szCs w:val="24"/>
          <w:lang w:val="en-GB"/>
        </w:rPr>
        <w:t>.</w:t>
      </w:r>
    </w:p>
    <w:p w14:paraId="026FFD6C" w14:textId="1C4666B6" w:rsidR="005A4C6C" w:rsidRPr="00904CDF" w:rsidRDefault="005A4C6C" w:rsidP="00AF57A1">
      <w:pPr>
        <w:spacing w:before="240" w:after="120" w:line="240" w:lineRule="auto"/>
        <w:jc w:val="both"/>
        <w:rPr>
          <w:rFonts w:ascii="Arial" w:hAnsi="Arial"/>
          <w:b/>
          <w:bCs/>
          <w:lang w:val="en-GB"/>
        </w:rPr>
      </w:pPr>
      <w:r w:rsidRPr="00904CDF">
        <w:rPr>
          <w:rFonts w:ascii="Arial" w:hAnsi="Arial"/>
          <w:b/>
          <w:bCs/>
          <w:szCs w:val="24"/>
          <w:lang w:val="en-GB"/>
        </w:rPr>
        <w:t>Table</w:t>
      </w:r>
      <w:r w:rsidR="000E2DE9">
        <w:rPr>
          <w:rFonts w:ascii="Arial" w:hAnsi="Arial"/>
          <w:b/>
          <w:bCs/>
          <w:szCs w:val="24"/>
          <w:lang w:val="en-GB"/>
        </w:rPr>
        <w:t xml:space="preserve"> </w:t>
      </w:r>
      <w:r w:rsidRPr="00904CDF">
        <w:rPr>
          <w:rFonts w:ascii="Arial" w:hAnsi="Arial"/>
          <w:b/>
          <w:bCs/>
          <w:szCs w:val="24"/>
          <w:lang w:val="en-GB"/>
        </w:rPr>
        <w:t>1:</w:t>
      </w:r>
      <w:r w:rsidR="000E2DE9">
        <w:rPr>
          <w:rFonts w:ascii="Arial" w:hAnsi="Arial"/>
          <w:b/>
          <w:bCs/>
          <w:szCs w:val="24"/>
          <w:lang w:val="en-GB"/>
        </w:rPr>
        <w:t xml:space="preserve"> </w:t>
      </w:r>
      <w:r w:rsidRPr="00904CDF">
        <w:rPr>
          <w:rFonts w:ascii="Arial" w:hAnsi="Arial"/>
          <w:b/>
          <w:bCs/>
          <w:szCs w:val="24"/>
          <w:lang w:val="en-GB"/>
        </w:rPr>
        <w:t>Innovative</w:t>
      </w:r>
      <w:r w:rsidR="000E2DE9">
        <w:rPr>
          <w:rFonts w:ascii="Arial" w:hAnsi="Arial"/>
          <w:b/>
          <w:bCs/>
          <w:szCs w:val="24"/>
          <w:lang w:val="en-GB"/>
        </w:rPr>
        <w:t xml:space="preserve"> </w:t>
      </w:r>
      <w:r w:rsidR="00AF57A1" w:rsidRPr="00904CDF">
        <w:rPr>
          <w:rFonts w:ascii="Arial" w:hAnsi="Arial"/>
          <w:b/>
          <w:bCs/>
          <w:szCs w:val="24"/>
          <w:lang w:val="en-GB"/>
        </w:rPr>
        <w:t>Contractual</w:t>
      </w:r>
      <w:r w:rsidR="000E2DE9">
        <w:rPr>
          <w:rFonts w:ascii="Arial" w:hAnsi="Arial"/>
          <w:b/>
          <w:bCs/>
          <w:szCs w:val="24"/>
          <w:lang w:val="en-GB"/>
        </w:rPr>
        <w:t xml:space="preserve"> </w:t>
      </w:r>
      <w:r w:rsidR="00AF57A1" w:rsidRPr="00904CDF">
        <w:rPr>
          <w:rFonts w:ascii="Arial" w:hAnsi="Arial"/>
          <w:b/>
          <w:bCs/>
          <w:szCs w:val="24"/>
          <w:lang w:val="en-GB"/>
        </w:rPr>
        <w:t>Clauses</w:t>
      </w:r>
      <w:r w:rsidR="000E2DE9">
        <w:rPr>
          <w:rFonts w:ascii="Arial" w:hAnsi="Arial"/>
          <w:b/>
          <w:bCs/>
          <w:szCs w:val="24"/>
          <w:lang w:val="en-GB"/>
        </w:rPr>
        <w:t xml:space="preserve"> </w:t>
      </w:r>
      <w:r w:rsidRPr="00904CDF">
        <w:rPr>
          <w:rFonts w:ascii="Arial" w:hAnsi="Arial"/>
          <w:b/>
          <w:bCs/>
          <w:szCs w:val="24"/>
          <w:lang w:val="en-GB"/>
        </w:rPr>
        <w:t>and</w:t>
      </w:r>
      <w:r w:rsidR="000E2DE9">
        <w:rPr>
          <w:rFonts w:ascii="Arial" w:hAnsi="Arial"/>
          <w:b/>
          <w:bCs/>
          <w:szCs w:val="24"/>
          <w:lang w:val="en-GB"/>
        </w:rPr>
        <w:t xml:space="preserve"> </w:t>
      </w:r>
      <w:r w:rsidRPr="00904CDF">
        <w:rPr>
          <w:rFonts w:ascii="Arial" w:hAnsi="Arial"/>
          <w:b/>
          <w:bCs/>
          <w:szCs w:val="24"/>
          <w:lang w:val="en-GB"/>
        </w:rPr>
        <w:t>their</w:t>
      </w:r>
      <w:r w:rsidR="000E2DE9">
        <w:rPr>
          <w:rFonts w:ascii="Arial" w:hAnsi="Arial"/>
          <w:b/>
          <w:bCs/>
          <w:szCs w:val="24"/>
          <w:lang w:val="en-GB"/>
        </w:rPr>
        <w:t xml:space="preserve"> </w:t>
      </w:r>
      <w:r w:rsidR="00AF57A1" w:rsidRPr="00904CDF">
        <w:rPr>
          <w:rFonts w:ascii="Arial" w:hAnsi="Arial"/>
          <w:b/>
          <w:bCs/>
          <w:szCs w:val="24"/>
          <w:lang w:val="en-GB"/>
        </w:rPr>
        <w:t>Alignment</w:t>
      </w:r>
      <w:r w:rsidR="000E2DE9">
        <w:rPr>
          <w:rFonts w:ascii="Arial" w:hAnsi="Arial"/>
          <w:b/>
          <w:bCs/>
          <w:szCs w:val="24"/>
          <w:lang w:val="en-GB"/>
        </w:rPr>
        <w:t xml:space="preserve"> </w:t>
      </w:r>
      <w:r w:rsidRPr="00904CDF">
        <w:rPr>
          <w:rFonts w:ascii="Arial" w:hAnsi="Arial"/>
          <w:b/>
          <w:bCs/>
          <w:szCs w:val="24"/>
          <w:lang w:val="en-GB"/>
        </w:rPr>
        <w:t>with</w:t>
      </w:r>
      <w:r w:rsidR="000E2DE9">
        <w:rPr>
          <w:rFonts w:ascii="Arial" w:hAnsi="Arial"/>
          <w:b/>
          <w:bCs/>
          <w:szCs w:val="24"/>
          <w:lang w:val="en-GB"/>
        </w:rPr>
        <w:t xml:space="preserve"> </w:t>
      </w:r>
      <w:r w:rsidR="00AF57A1" w:rsidRPr="00904CDF">
        <w:rPr>
          <w:rFonts w:ascii="Arial" w:hAnsi="Arial"/>
          <w:b/>
          <w:bCs/>
          <w:szCs w:val="24"/>
          <w:lang w:val="en-GB"/>
        </w:rPr>
        <w:t>Specific</w:t>
      </w:r>
      <w:r w:rsidR="000E2DE9">
        <w:rPr>
          <w:rFonts w:ascii="Arial" w:hAnsi="Arial"/>
          <w:b/>
          <w:bCs/>
          <w:szCs w:val="24"/>
          <w:lang w:val="en-GB"/>
        </w:rPr>
        <w:t xml:space="preserve"> </w:t>
      </w:r>
      <w:r w:rsidRPr="00904CDF">
        <w:rPr>
          <w:rFonts w:ascii="Arial" w:hAnsi="Arial"/>
          <w:b/>
          <w:bCs/>
          <w:szCs w:val="24"/>
          <w:lang w:val="en-GB"/>
        </w:rPr>
        <w:t>SDG</w:t>
      </w:r>
      <w:r w:rsidR="000E2DE9">
        <w:rPr>
          <w:rFonts w:ascii="Arial" w:hAnsi="Arial"/>
          <w:b/>
          <w:bCs/>
          <w:szCs w:val="24"/>
          <w:lang w:val="en-GB"/>
        </w:rPr>
        <w:t xml:space="preserve"> </w:t>
      </w:r>
      <w:r w:rsidR="00AF57A1" w:rsidRPr="00904CDF">
        <w:rPr>
          <w:rFonts w:ascii="Arial" w:hAnsi="Arial"/>
          <w:b/>
          <w:bCs/>
          <w:szCs w:val="24"/>
          <w:lang w:val="en-GB"/>
        </w:rPr>
        <w:t>Targets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512B2B" w:rsidRPr="00904CDF" w14:paraId="5AAA08C5" w14:textId="77777777" w:rsidTr="00AF5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32C7B57C" w14:textId="2EE55BE0" w:rsidR="00512B2B" w:rsidRPr="00904CDF" w:rsidRDefault="00512B2B" w:rsidP="00AF57A1">
            <w:pPr>
              <w:spacing w:before="60" w:after="60"/>
              <w:rPr>
                <w:rFonts w:ascii="Arial" w:hAnsi="Arial"/>
                <w:szCs w:val="20"/>
                <w:lang w:val="en-GB"/>
              </w:rPr>
            </w:pPr>
            <w:r w:rsidRPr="00904CDF">
              <w:rPr>
                <w:rFonts w:ascii="Arial" w:hAnsi="Arial"/>
                <w:szCs w:val="20"/>
                <w:lang w:val="en-GB"/>
              </w:rPr>
              <w:lastRenderedPageBreak/>
              <w:t>Contractual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Innov</w:t>
            </w:r>
            <w:r w:rsidR="005236BC" w:rsidRPr="00904CDF">
              <w:rPr>
                <w:rFonts w:ascii="Arial" w:hAnsi="Arial"/>
                <w:szCs w:val="20"/>
                <w:lang w:val="en-GB"/>
              </w:rPr>
              <w:t>at</w:t>
            </w:r>
            <w:r w:rsidRPr="00904CDF">
              <w:rPr>
                <w:rFonts w:ascii="Arial" w:hAnsi="Arial"/>
                <w:szCs w:val="20"/>
                <w:lang w:val="en-GB"/>
              </w:rPr>
              <w:t>ion</w:t>
            </w:r>
          </w:p>
        </w:tc>
        <w:tc>
          <w:tcPr>
            <w:tcW w:w="2877" w:type="dxa"/>
          </w:tcPr>
          <w:p w14:paraId="328A2685" w14:textId="663A8E23" w:rsidR="00512B2B" w:rsidRPr="00904CDF" w:rsidRDefault="00512B2B" w:rsidP="00AF57A1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0"/>
                <w:lang w:val="en-GB"/>
              </w:rPr>
            </w:pPr>
            <w:r w:rsidRPr="00904CDF">
              <w:rPr>
                <w:rFonts w:ascii="Arial" w:hAnsi="Arial"/>
                <w:szCs w:val="20"/>
                <w:lang w:val="en-GB"/>
              </w:rPr>
              <w:t>Description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</w:p>
        </w:tc>
        <w:tc>
          <w:tcPr>
            <w:tcW w:w="2877" w:type="dxa"/>
          </w:tcPr>
          <w:p w14:paraId="78F4994D" w14:textId="605F961B" w:rsidR="00512B2B" w:rsidRPr="00904CDF" w:rsidRDefault="00512B2B" w:rsidP="00AF57A1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0"/>
                <w:lang w:val="en-GB"/>
              </w:rPr>
            </w:pPr>
            <w:r w:rsidRPr="00904CDF">
              <w:rPr>
                <w:rFonts w:ascii="Arial" w:hAnsi="Arial"/>
                <w:szCs w:val="20"/>
                <w:lang w:val="en-GB"/>
              </w:rPr>
              <w:t>Linked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SG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Target(s)</w:t>
            </w:r>
          </w:p>
        </w:tc>
      </w:tr>
      <w:tr w:rsidR="00512B2B" w:rsidRPr="00904CDF" w14:paraId="0E07522F" w14:textId="77777777" w:rsidTr="00AF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481F59B0" w14:textId="1B508F1D" w:rsidR="00512B2B" w:rsidRPr="00904CDF" w:rsidRDefault="00512B2B" w:rsidP="00AF57A1">
            <w:pPr>
              <w:spacing w:before="60" w:after="60"/>
              <w:rPr>
                <w:rFonts w:ascii="Arial" w:hAnsi="Arial"/>
                <w:b w:val="0"/>
                <w:bCs w:val="0"/>
                <w:szCs w:val="20"/>
                <w:lang w:val="en-GB"/>
              </w:rPr>
            </w:pPr>
            <w:r w:rsidRPr="00904CDF">
              <w:rPr>
                <w:rFonts w:ascii="Arial" w:hAnsi="Arial"/>
                <w:b w:val="0"/>
                <w:bCs w:val="0"/>
                <w:szCs w:val="20"/>
                <w:lang w:val="en-GB"/>
              </w:rPr>
              <w:t>Sustainability</w:t>
            </w:r>
            <w:r w:rsidR="000E2DE9">
              <w:rPr>
                <w:rFonts w:ascii="Arial" w:hAnsi="Arial"/>
                <w:b w:val="0"/>
                <w:bCs w:val="0"/>
                <w:szCs w:val="20"/>
                <w:lang w:val="en-GB"/>
              </w:rPr>
              <w:t xml:space="preserve"> </w:t>
            </w:r>
            <w:r w:rsidR="001A2783" w:rsidRPr="00904CDF">
              <w:rPr>
                <w:rFonts w:ascii="Arial" w:hAnsi="Arial"/>
                <w:b w:val="0"/>
                <w:bCs w:val="0"/>
                <w:szCs w:val="20"/>
                <w:lang w:val="en-GB"/>
              </w:rPr>
              <w:t>Clause</w:t>
            </w:r>
          </w:p>
        </w:tc>
        <w:tc>
          <w:tcPr>
            <w:tcW w:w="2877" w:type="dxa"/>
          </w:tcPr>
          <w:p w14:paraId="75C092E5" w14:textId="54A94BD0" w:rsidR="00512B2B" w:rsidRPr="00904CDF" w:rsidRDefault="00512B2B" w:rsidP="00AF57A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Cs w:val="20"/>
                <w:lang w:val="en-GB"/>
              </w:rPr>
            </w:pPr>
            <w:r w:rsidRPr="00904CDF">
              <w:rPr>
                <w:rFonts w:ascii="Arial" w:hAnsi="Arial"/>
                <w:szCs w:val="20"/>
                <w:lang w:val="en-GB"/>
              </w:rPr>
              <w:t>Require</w:t>
            </w:r>
            <w:r w:rsidR="001A2783">
              <w:rPr>
                <w:rFonts w:ascii="Arial" w:hAnsi="Arial"/>
                <w:szCs w:val="20"/>
                <w:lang w:val="en-GB"/>
              </w:rPr>
              <w:t>s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adherence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to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environmental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standards</w:t>
            </w:r>
          </w:p>
        </w:tc>
        <w:tc>
          <w:tcPr>
            <w:tcW w:w="2877" w:type="dxa"/>
          </w:tcPr>
          <w:p w14:paraId="77D052D9" w14:textId="472B3B63" w:rsidR="00512B2B" w:rsidRPr="00904CDF" w:rsidRDefault="00512B2B" w:rsidP="00AF57A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Cs w:val="20"/>
                <w:lang w:val="en-GB"/>
              </w:rPr>
            </w:pPr>
            <w:r w:rsidRPr="00904CDF">
              <w:rPr>
                <w:rFonts w:ascii="Arial" w:hAnsi="Arial"/>
                <w:szCs w:val="20"/>
                <w:lang w:val="en-GB"/>
              </w:rPr>
              <w:t>SDG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13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(Climate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action),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SG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15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(Life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on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land)</w:t>
            </w:r>
          </w:p>
        </w:tc>
      </w:tr>
      <w:tr w:rsidR="00512B2B" w:rsidRPr="00904CDF" w14:paraId="5C6819D2" w14:textId="77777777" w:rsidTr="00AF5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49E89896" w14:textId="613310D1" w:rsidR="00512B2B" w:rsidRPr="00904CDF" w:rsidRDefault="00512B2B" w:rsidP="00AF57A1">
            <w:pPr>
              <w:spacing w:before="60" w:after="60"/>
              <w:rPr>
                <w:rFonts w:ascii="Arial" w:hAnsi="Arial"/>
                <w:b w:val="0"/>
                <w:bCs w:val="0"/>
                <w:szCs w:val="20"/>
                <w:lang w:val="en-GB"/>
              </w:rPr>
            </w:pPr>
            <w:r w:rsidRPr="00904CDF">
              <w:rPr>
                <w:rFonts w:ascii="Arial" w:hAnsi="Arial"/>
                <w:b w:val="0"/>
                <w:bCs w:val="0"/>
                <w:szCs w:val="20"/>
                <w:lang w:val="en-GB"/>
              </w:rPr>
              <w:t>Anti-Corruption</w:t>
            </w:r>
            <w:r w:rsidR="000E2DE9">
              <w:rPr>
                <w:rFonts w:ascii="Arial" w:hAnsi="Arial"/>
                <w:b w:val="0"/>
                <w:bCs w:val="0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b w:val="0"/>
                <w:bCs w:val="0"/>
                <w:szCs w:val="20"/>
                <w:lang w:val="en-GB"/>
              </w:rPr>
              <w:t>Provision</w:t>
            </w:r>
          </w:p>
        </w:tc>
        <w:tc>
          <w:tcPr>
            <w:tcW w:w="2877" w:type="dxa"/>
          </w:tcPr>
          <w:p w14:paraId="7B327F37" w14:textId="16CFFBC1" w:rsidR="00512B2B" w:rsidRPr="00904CDF" w:rsidRDefault="00512B2B" w:rsidP="00AF57A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0"/>
                <w:lang w:val="en-GB"/>
              </w:rPr>
            </w:pPr>
            <w:r w:rsidRPr="00904CDF">
              <w:rPr>
                <w:rFonts w:ascii="Arial" w:hAnsi="Arial"/>
                <w:szCs w:val="20"/>
                <w:lang w:val="en-GB"/>
              </w:rPr>
              <w:t>Prevent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bribery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and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unethical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practices</w:t>
            </w:r>
          </w:p>
        </w:tc>
        <w:tc>
          <w:tcPr>
            <w:tcW w:w="2877" w:type="dxa"/>
          </w:tcPr>
          <w:p w14:paraId="5B47612E" w14:textId="32766BB6" w:rsidR="00512B2B" w:rsidRPr="00904CDF" w:rsidRDefault="00512B2B" w:rsidP="00AF57A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0"/>
                <w:lang w:val="en-GB"/>
              </w:rPr>
            </w:pPr>
            <w:r w:rsidRPr="00904CDF">
              <w:rPr>
                <w:rFonts w:ascii="Arial" w:hAnsi="Arial"/>
                <w:szCs w:val="20"/>
                <w:lang w:val="en-GB"/>
              </w:rPr>
              <w:t>SDG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16.5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(Reduce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corruption)</w:t>
            </w:r>
          </w:p>
        </w:tc>
      </w:tr>
      <w:tr w:rsidR="00512B2B" w:rsidRPr="00904CDF" w14:paraId="4D6248E3" w14:textId="77777777" w:rsidTr="00AF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20B36DA6" w14:textId="35A5CD64" w:rsidR="00512B2B" w:rsidRPr="00904CDF" w:rsidRDefault="00512B2B" w:rsidP="00AF57A1">
            <w:pPr>
              <w:spacing w:before="60" w:after="60"/>
              <w:rPr>
                <w:rFonts w:ascii="Arial" w:hAnsi="Arial"/>
                <w:b w:val="0"/>
                <w:bCs w:val="0"/>
                <w:szCs w:val="20"/>
                <w:lang w:val="en-GB"/>
              </w:rPr>
            </w:pPr>
            <w:r w:rsidRPr="00904CDF">
              <w:rPr>
                <w:rFonts w:ascii="Arial" w:hAnsi="Arial"/>
                <w:b w:val="0"/>
                <w:bCs w:val="0"/>
                <w:szCs w:val="20"/>
                <w:lang w:val="en-GB"/>
              </w:rPr>
              <w:t>Gender</w:t>
            </w:r>
            <w:r w:rsidR="000E2DE9">
              <w:rPr>
                <w:rFonts w:ascii="Arial" w:hAnsi="Arial"/>
                <w:b w:val="0"/>
                <w:bCs w:val="0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b w:val="0"/>
                <w:bCs w:val="0"/>
                <w:szCs w:val="20"/>
                <w:lang w:val="en-GB"/>
              </w:rPr>
              <w:t>Equality</w:t>
            </w:r>
            <w:r w:rsidR="000E2DE9">
              <w:rPr>
                <w:rFonts w:ascii="Arial" w:hAnsi="Arial"/>
                <w:b w:val="0"/>
                <w:bCs w:val="0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b w:val="0"/>
                <w:bCs w:val="0"/>
                <w:szCs w:val="20"/>
                <w:lang w:val="en-GB"/>
              </w:rPr>
              <w:t>Commitments</w:t>
            </w:r>
          </w:p>
        </w:tc>
        <w:tc>
          <w:tcPr>
            <w:tcW w:w="2877" w:type="dxa"/>
          </w:tcPr>
          <w:p w14:paraId="1E824369" w14:textId="18955C30" w:rsidR="00512B2B" w:rsidRPr="00904CDF" w:rsidRDefault="00512B2B" w:rsidP="00AF57A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Cs w:val="20"/>
                <w:lang w:val="en-GB"/>
              </w:rPr>
            </w:pPr>
            <w:r w:rsidRPr="00904CDF">
              <w:rPr>
                <w:rFonts w:ascii="Arial" w:hAnsi="Arial"/>
                <w:szCs w:val="20"/>
                <w:lang w:val="en-GB"/>
              </w:rPr>
              <w:t>Ensure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fair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treatment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of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women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in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agreements</w:t>
            </w:r>
          </w:p>
        </w:tc>
        <w:tc>
          <w:tcPr>
            <w:tcW w:w="2877" w:type="dxa"/>
          </w:tcPr>
          <w:p w14:paraId="0660DF47" w14:textId="113C641A" w:rsidR="00512B2B" w:rsidRPr="00904CDF" w:rsidRDefault="00512B2B" w:rsidP="00AF57A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Cs w:val="20"/>
                <w:lang w:val="en-GB"/>
              </w:rPr>
            </w:pPr>
            <w:r w:rsidRPr="00904CDF">
              <w:rPr>
                <w:rFonts w:ascii="Arial" w:hAnsi="Arial"/>
                <w:szCs w:val="20"/>
                <w:lang w:val="en-GB"/>
              </w:rPr>
              <w:t>SDG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5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(Gender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Equality)</w:t>
            </w:r>
          </w:p>
        </w:tc>
      </w:tr>
      <w:tr w:rsidR="00512B2B" w:rsidRPr="00904CDF" w14:paraId="414E966C" w14:textId="77777777" w:rsidTr="00AF5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4E92F8BE" w14:textId="40098AD4" w:rsidR="00512B2B" w:rsidRPr="00904CDF" w:rsidRDefault="00512B2B" w:rsidP="00AF57A1">
            <w:pPr>
              <w:spacing w:before="60" w:after="60"/>
              <w:rPr>
                <w:rFonts w:ascii="Arial" w:hAnsi="Arial"/>
                <w:b w:val="0"/>
                <w:bCs w:val="0"/>
                <w:szCs w:val="20"/>
                <w:lang w:val="en-GB"/>
              </w:rPr>
            </w:pPr>
            <w:r w:rsidRPr="00904CDF">
              <w:rPr>
                <w:rFonts w:ascii="Arial" w:hAnsi="Arial"/>
                <w:b w:val="0"/>
                <w:bCs w:val="0"/>
                <w:szCs w:val="20"/>
                <w:lang w:val="en-GB"/>
              </w:rPr>
              <w:t>Social</w:t>
            </w:r>
            <w:r w:rsidR="000E2DE9">
              <w:rPr>
                <w:rFonts w:ascii="Arial" w:hAnsi="Arial"/>
                <w:b w:val="0"/>
                <w:bCs w:val="0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b w:val="0"/>
                <w:bCs w:val="0"/>
                <w:szCs w:val="20"/>
                <w:lang w:val="en-GB"/>
              </w:rPr>
              <w:t>Impact</w:t>
            </w:r>
            <w:r w:rsidR="000E2DE9">
              <w:rPr>
                <w:rFonts w:ascii="Arial" w:hAnsi="Arial"/>
                <w:b w:val="0"/>
                <w:bCs w:val="0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b w:val="0"/>
                <w:bCs w:val="0"/>
                <w:szCs w:val="20"/>
                <w:lang w:val="en-GB"/>
              </w:rPr>
              <w:t>Metrics</w:t>
            </w:r>
          </w:p>
        </w:tc>
        <w:tc>
          <w:tcPr>
            <w:tcW w:w="2877" w:type="dxa"/>
          </w:tcPr>
          <w:p w14:paraId="775D676A" w14:textId="5BB0DCA5" w:rsidR="00512B2B" w:rsidRPr="00904CDF" w:rsidRDefault="00512B2B" w:rsidP="00AF57A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0"/>
                <w:lang w:val="en-GB"/>
              </w:rPr>
            </w:pPr>
            <w:r w:rsidRPr="00904CDF">
              <w:rPr>
                <w:rFonts w:ascii="Arial" w:hAnsi="Arial"/>
                <w:szCs w:val="20"/>
                <w:lang w:val="en-GB"/>
              </w:rPr>
              <w:t>Track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contributions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to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community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wellbeing</w:t>
            </w:r>
          </w:p>
        </w:tc>
        <w:tc>
          <w:tcPr>
            <w:tcW w:w="2877" w:type="dxa"/>
          </w:tcPr>
          <w:p w14:paraId="555537E8" w14:textId="4B760B14" w:rsidR="00512B2B" w:rsidRPr="00904CDF" w:rsidRDefault="00512B2B" w:rsidP="00AF57A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0"/>
                <w:lang w:val="en-GB"/>
              </w:rPr>
            </w:pPr>
            <w:r w:rsidRPr="00904CDF">
              <w:rPr>
                <w:rFonts w:ascii="Arial" w:hAnsi="Arial"/>
                <w:szCs w:val="20"/>
                <w:lang w:val="en-GB"/>
              </w:rPr>
              <w:t>SDG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1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(No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poverty),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SDG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3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(Good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health)</w:t>
            </w:r>
          </w:p>
        </w:tc>
      </w:tr>
      <w:tr w:rsidR="00512B2B" w:rsidRPr="00904CDF" w14:paraId="3DDF60AB" w14:textId="77777777" w:rsidTr="00AF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7EED9096" w14:textId="74C161E4" w:rsidR="00512B2B" w:rsidRPr="00904CDF" w:rsidRDefault="00512B2B" w:rsidP="00AF57A1">
            <w:pPr>
              <w:spacing w:before="60" w:after="60"/>
              <w:rPr>
                <w:rFonts w:ascii="Arial" w:hAnsi="Arial"/>
                <w:b w:val="0"/>
                <w:bCs w:val="0"/>
                <w:szCs w:val="20"/>
                <w:lang w:val="en-GB"/>
              </w:rPr>
            </w:pPr>
            <w:r w:rsidRPr="00904CDF">
              <w:rPr>
                <w:rFonts w:ascii="Arial" w:hAnsi="Arial"/>
                <w:b w:val="0"/>
                <w:bCs w:val="0"/>
                <w:szCs w:val="20"/>
                <w:lang w:val="en-GB"/>
              </w:rPr>
              <w:t>Dispute</w:t>
            </w:r>
            <w:r w:rsidR="000E2DE9">
              <w:rPr>
                <w:rFonts w:ascii="Arial" w:hAnsi="Arial"/>
                <w:b w:val="0"/>
                <w:bCs w:val="0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b w:val="0"/>
                <w:bCs w:val="0"/>
                <w:szCs w:val="20"/>
                <w:lang w:val="en-GB"/>
              </w:rPr>
              <w:t>Resolution</w:t>
            </w:r>
            <w:r w:rsidR="000E2DE9">
              <w:rPr>
                <w:rFonts w:ascii="Arial" w:hAnsi="Arial"/>
                <w:b w:val="0"/>
                <w:bCs w:val="0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b w:val="0"/>
                <w:bCs w:val="0"/>
                <w:szCs w:val="20"/>
                <w:lang w:val="en-GB"/>
              </w:rPr>
              <w:t>Mechanisms</w:t>
            </w:r>
          </w:p>
        </w:tc>
        <w:tc>
          <w:tcPr>
            <w:tcW w:w="2877" w:type="dxa"/>
          </w:tcPr>
          <w:p w14:paraId="7AD0C526" w14:textId="5D7BFE36" w:rsidR="00512B2B" w:rsidRPr="00904CDF" w:rsidRDefault="00512B2B" w:rsidP="00AF57A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Cs w:val="20"/>
                <w:lang w:val="en-GB"/>
              </w:rPr>
            </w:pPr>
            <w:r w:rsidRPr="00904CDF">
              <w:rPr>
                <w:rFonts w:ascii="Arial" w:hAnsi="Arial"/>
                <w:szCs w:val="20"/>
                <w:lang w:val="en-GB"/>
              </w:rPr>
              <w:t>Include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mediation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or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arbitration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clauses</w:t>
            </w:r>
          </w:p>
        </w:tc>
        <w:tc>
          <w:tcPr>
            <w:tcW w:w="2877" w:type="dxa"/>
          </w:tcPr>
          <w:p w14:paraId="362829FB" w14:textId="2FB91250" w:rsidR="00512B2B" w:rsidRPr="00904CDF" w:rsidRDefault="00512B2B" w:rsidP="00AF57A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Cs w:val="20"/>
                <w:lang w:val="en-GB"/>
              </w:rPr>
            </w:pPr>
            <w:r w:rsidRPr="00904CDF">
              <w:rPr>
                <w:rFonts w:ascii="Arial" w:hAnsi="Arial"/>
                <w:szCs w:val="20"/>
                <w:lang w:val="en-GB"/>
              </w:rPr>
              <w:t>SDG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16.3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(Access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to</w:t>
            </w:r>
            <w:r w:rsidR="000E2DE9">
              <w:rPr>
                <w:rFonts w:ascii="Arial" w:hAnsi="Arial"/>
                <w:szCs w:val="20"/>
                <w:lang w:val="en-GB"/>
              </w:rPr>
              <w:t xml:space="preserve"> </w:t>
            </w:r>
            <w:r w:rsidRPr="00904CDF">
              <w:rPr>
                <w:rFonts w:ascii="Arial" w:hAnsi="Arial"/>
                <w:szCs w:val="20"/>
                <w:lang w:val="en-GB"/>
              </w:rPr>
              <w:t>justice)</w:t>
            </w:r>
          </w:p>
        </w:tc>
      </w:tr>
    </w:tbl>
    <w:p w14:paraId="5939815D" w14:textId="1CAC442B" w:rsidR="00B808E4" w:rsidRPr="00904CDF" w:rsidRDefault="00B808E4" w:rsidP="00B808E4">
      <w:pPr>
        <w:spacing w:before="120" w:after="240" w:line="240" w:lineRule="auto"/>
        <w:jc w:val="both"/>
        <w:rPr>
          <w:rFonts w:ascii="Arial" w:hAnsi="Arial"/>
          <w:bCs/>
          <w:sz w:val="18"/>
          <w:lang w:val="en-GB"/>
        </w:rPr>
      </w:pPr>
      <w:r w:rsidRPr="00904CDF">
        <w:rPr>
          <w:rFonts w:ascii="Arial" w:hAnsi="Arial"/>
          <w:bCs/>
          <w:i/>
          <w:sz w:val="18"/>
          <w:lang w:val="en-GB"/>
        </w:rPr>
        <w:t>Source</w:t>
      </w:r>
      <w:r w:rsidRPr="00904CDF">
        <w:rPr>
          <w:rFonts w:ascii="Arial" w:hAnsi="Arial"/>
          <w:bCs/>
          <w:sz w:val="18"/>
          <w:lang w:val="en-GB"/>
        </w:rPr>
        <w:t>:</w:t>
      </w:r>
      <w:r w:rsidR="000E2DE9">
        <w:rPr>
          <w:rFonts w:ascii="Arial" w:hAnsi="Arial"/>
          <w:bCs/>
          <w:sz w:val="18"/>
          <w:lang w:val="en-GB"/>
        </w:rPr>
        <w:t xml:space="preserve"> </w:t>
      </w:r>
      <w:r w:rsidR="00562B3E">
        <w:rPr>
          <w:rFonts w:ascii="Arial" w:hAnsi="Arial"/>
          <w:bCs/>
          <w:sz w:val="18"/>
          <w:lang w:val="en-GB"/>
        </w:rPr>
        <w:t>Constructed</w:t>
      </w:r>
      <w:r w:rsidR="000E2DE9">
        <w:rPr>
          <w:rFonts w:ascii="Arial" w:hAnsi="Arial"/>
          <w:bCs/>
          <w:sz w:val="18"/>
          <w:lang w:val="en-GB"/>
        </w:rPr>
        <w:t xml:space="preserve"> </w:t>
      </w:r>
      <w:r w:rsidR="00562B3E">
        <w:rPr>
          <w:rFonts w:ascii="Arial" w:hAnsi="Arial"/>
          <w:bCs/>
          <w:sz w:val="18"/>
          <w:lang w:val="en-GB"/>
        </w:rPr>
        <w:t>by</w:t>
      </w:r>
      <w:r w:rsidR="000E2DE9">
        <w:rPr>
          <w:rFonts w:ascii="Arial" w:hAnsi="Arial"/>
          <w:bCs/>
          <w:sz w:val="18"/>
          <w:lang w:val="en-GB"/>
        </w:rPr>
        <w:t xml:space="preserve"> </w:t>
      </w:r>
      <w:r w:rsidR="00562B3E">
        <w:rPr>
          <w:rFonts w:ascii="Arial" w:hAnsi="Arial"/>
          <w:bCs/>
          <w:sz w:val="18"/>
          <w:lang w:val="en-GB"/>
        </w:rPr>
        <w:t>author</w:t>
      </w:r>
    </w:p>
    <w:p w14:paraId="00003428" w14:textId="414FF947" w:rsidR="0047517A" w:rsidRPr="00AF57A1" w:rsidRDefault="0047517A" w:rsidP="00AF57A1">
      <w:pPr>
        <w:pStyle w:val="Heading3"/>
        <w:spacing w:before="240" w:after="120" w:line="240" w:lineRule="auto"/>
        <w:rPr>
          <w:rFonts w:ascii="Arial" w:hAnsi="Arial"/>
          <w:color w:val="auto"/>
          <w:lang w:val="en-GB"/>
        </w:rPr>
      </w:pPr>
      <w:r w:rsidRPr="00AF57A1">
        <w:rPr>
          <w:rFonts w:ascii="Arial" w:hAnsi="Arial"/>
          <w:color w:val="auto"/>
          <w:lang w:val="en-GB"/>
        </w:rPr>
        <w:t>Target</w:t>
      </w:r>
      <w:r w:rsidR="0038778D">
        <w:rPr>
          <w:rFonts w:ascii="Arial" w:hAnsi="Arial"/>
          <w:color w:val="auto"/>
          <w:lang w:val="en-GB"/>
        </w:rPr>
        <w:t>s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16.3,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8.1,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and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9.5: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Access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to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Justice,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E</w:t>
      </w:r>
      <w:r w:rsidR="00AF57A1">
        <w:rPr>
          <w:rFonts w:ascii="Arial" w:hAnsi="Arial"/>
          <w:color w:val="auto"/>
          <w:lang w:val="en-GB"/>
        </w:rPr>
        <w:t>fficient</w:t>
      </w:r>
      <w:r w:rsidR="000E2DE9">
        <w:rPr>
          <w:rFonts w:ascii="Arial" w:hAnsi="Arial"/>
          <w:color w:val="auto"/>
          <w:lang w:val="en-GB"/>
        </w:rPr>
        <w:t xml:space="preserve"> </w:t>
      </w:r>
      <w:r w:rsidR="00AF57A1">
        <w:rPr>
          <w:rFonts w:ascii="Arial" w:hAnsi="Arial"/>
          <w:color w:val="auto"/>
          <w:lang w:val="en-GB"/>
        </w:rPr>
        <w:t>Markets</w:t>
      </w:r>
      <w:r w:rsidR="000E2DE9">
        <w:rPr>
          <w:rFonts w:ascii="Arial" w:hAnsi="Arial"/>
          <w:color w:val="auto"/>
          <w:lang w:val="en-GB"/>
        </w:rPr>
        <w:t xml:space="preserve"> </w:t>
      </w:r>
      <w:r w:rsidR="00AF57A1">
        <w:rPr>
          <w:rFonts w:ascii="Arial" w:hAnsi="Arial"/>
          <w:color w:val="auto"/>
          <w:lang w:val="en-GB"/>
        </w:rPr>
        <w:t>and</w:t>
      </w:r>
      <w:r w:rsidR="000E2DE9">
        <w:rPr>
          <w:rFonts w:ascii="Arial" w:hAnsi="Arial"/>
          <w:color w:val="auto"/>
          <w:lang w:val="en-GB"/>
        </w:rPr>
        <w:t xml:space="preserve"> </w:t>
      </w:r>
      <w:r w:rsidR="00AF57A1">
        <w:rPr>
          <w:rFonts w:ascii="Arial" w:hAnsi="Arial"/>
          <w:color w:val="auto"/>
          <w:lang w:val="en-GB"/>
        </w:rPr>
        <w:t>Innovation</w:t>
      </w:r>
    </w:p>
    <w:p w14:paraId="143057A2" w14:textId="40FCD1CE" w:rsidR="0047517A" w:rsidRPr="00AF57A1" w:rsidRDefault="0047517A" w:rsidP="00AF57A1">
      <w:pPr>
        <w:pStyle w:val="Heading3"/>
        <w:spacing w:before="120" w:after="240" w:line="240" w:lineRule="auto"/>
        <w:jc w:val="both"/>
        <w:rPr>
          <w:rFonts w:ascii="Arial" w:hAnsi="Arial"/>
          <w:b w:val="0"/>
          <w:bCs w:val="0"/>
          <w:color w:val="auto"/>
          <w:szCs w:val="24"/>
          <w:lang w:val="en-GB"/>
        </w:rPr>
      </w:pP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SDG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1A2783" w:rsidRPr="00AF57A1">
        <w:rPr>
          <w:rFonts w:ascii="Arial" w:hAnsi="Arial"/>
          <w:b w:val="0"/>
          <w:bCs w:val="0"/>
          <w:color w:val="auto"/>
          <w:szCs w:val="24"/>
          <w:lang w:val="en-GB"/>
        </w:rPr>
        <w:t>targets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16.3,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8.1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9.5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all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emphas</w:t>
      </w:r>
      <w:r w:rsidR="0063089D">
        <w:rPr>
          <w:rFonts w:ascii="Arial" w:hAnsi="Arial"/>
          <w:b w:val="0"/>
          <w:bCs w:val="0"/>
          <w:color w:val="auto"/>
          <w:szCs w:val="24"/>
          <w:lang w:val="en-GB"/>
        </w:rPr>
        <w:t>is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importance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of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enforceable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contracts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fostering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access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to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justice,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economic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efficiency,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innovation.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Goal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16.3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of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SDGs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to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provide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everyone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with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equal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access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to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justice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empower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rule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of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law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based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on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effective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legal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institutional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frameworks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562B3E">
        <w:rPr>
          <w:rFonts w:ascii="Arial" w:hAnsi="Arial"/>
          <w:b w:val="0"/>
          <w:bCs w:val="0"/>
          <w:color w:val="auto"/>
          <w:szCs w:val="24"/>
          <w:lang w:val="en-GB"/>
        </w:rPr>
        <w:t>(Caldwell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562B3E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562B3E">
        <w:rPr>
          <w:rFonts w:ascii="Arial" w:hAnsi="Arial"/>
          <w:b w:val="0"/>
          <w:bCs w:val="0"/>
          <w:color w:val="auto"/>
          <w:szCs w:val="24"/>
          <w:lang w:val="en-GB"/>
        </w:rPr>
        <w:t>Jamali,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562B3E">
        <w:rPr>
          <w:rFonts w:ascii="Arial" w:hAnsi="Arial"/>
          <w:b w:val="0"/>
          <w:bCs w:val="0"/>
          <w:color w:val="auto"/>
          <w:szCs w:val="24"/>
          <w:lang w:val="en-GB"/>
        </w:rPr>
        <w:t>2025)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.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Some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of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key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measures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involve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judicial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independence,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transparency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legal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procedures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availability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of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remedies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case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of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breach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of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contract.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Namely,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judicial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independence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prevents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courts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against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outside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influences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delays,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granting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them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right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to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resolve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dispute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timely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fair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way.</w:t>
      </w:r>
    </w:p>
    <w:p w14:paraId="1D9E9674" w14:textId="7CF20EB4" w:rsidR="0047517A" w:rsidRPr="00AF57A1" w:rsidRDefault="0047517A" w:rsidP="00AF57A1">
      <w:pPr>
        <w:pStyle w:val="Heading3"/>
        <w:spacing w:before="240" w:after="240" w:line="240" w:lineRule="auto"/>
        <w:ind w:firstLine="357"/>
        <w:jc w:val="both"/>
        <w:rPr>
          <w:rFonts w:ascii="Arial" w:hAnsi="Arial"/>
          <w:b w:val="0"/>
          <w:bCs w:val="0"/>
          <w:color w:val="auto"/>
          <w:szCs w:val="24"/>
          <w:lang w:val="en-GB"/>
        </w:rPr>
      </w:pP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Effective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enforcement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of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contracts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also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directly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benefits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SDG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1A2783" w:rsidRPr="00AF57A1">
        <w:rPr>
          <w:rFonts w:ascii="Arial" w:hAnsi="Arial"/>
          <w:b w:val="0"/>
          <w:bCs w:val="0"/>
          <w:color w:val="auto"/>
          <w:szCs w:val="24"/>
          <w:lang w:val="en-GB"/>
        </w:rPr>
        <w:t>target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8.1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by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improving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efficiency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of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market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economic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growth.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Quick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timely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implementation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minim</w:t>
      </w:r>
      <w:r w:rsidR="0063089D">
        <w:rPr>
          <w:rFonts w:ascii="Arial" w:hAnsi="Arial"/>
          <w:b w:val="0"/>
          <w:bCs w:val="0"/>
          <w:color w:val="auto"/>
          <w:szCs w:val="24"/>
          <w:lang w:val="en-GB"/>
        </w:rPr>
        <w:t>is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transaction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costs,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boosts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investor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confidence,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promotes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mega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investments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innovation.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When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there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certainty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legal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systems,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investors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will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find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it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easier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to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enter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into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new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markets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generate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employment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562B89">
        <w:rPr>
          <w:rFonts w:ascii="Arial" w:hAnsi="Arial"/>
          <w:b w:val="0"/>
          <w:bCs w:val="0"/>
          <w:color w:val="auto"/>
          <w:szCs w:val="24"/>
          <w:lang w:val="en-GB"/>
        </w:rPr>
        <w:t>(Parry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562B89" w:rsidRPr="0038778D">
        <w:rPr>
          <w:rFonts w:ascii="Arial" w:hAnsi="Arial"/>
          <w:b w:val="0"/>
          <w:bCs w:val="0"/>
          <w:i/>
          <w:color w:val="auto"/>
          <w:szCs w:val="24"/>
          <w:lang w:val="en-GB"/>
        </w:rPr>
        <w:t>et</w:t>
      </w:r>
      <w:r w:rsidR="000E2DE9">
        <w:rPr>
          <w:rFonts w:ascii="Arial" w:hAnsi="Arial"/>
          <w:b w:val="0"/>
          <w:bCs w:val="0"/>
          <w:i/>
          <w:color w:val="auto"/>
          <w:szCs w:val="24"/>
          <w:lang w:val="en-GB"/>
        </w:rPr>
        <w:t xml:space="preserve"> </w:t>
      </w:r>
      <w:r w:rsidR="00562B89" w:rsidRPr="0038778D">
        <w:rPr>
          <w:rFonts w:ascii="Arial" w:hAnsi="Arial"/>
          <w:b w:val="0"/>
          <w:bCs w:val="0"/>
          <w:i/>
          <w:color w:val="auto"/>
          <w:szCs w:val="24"/>
          <w:lang w:val="en-GB"/>
        </w:rPr>
        <w:t>al</w:t>
      </w:r>
      <w:r w:rsidR="00562B89">
        <w:rPr>
          <w:rFonts w:ascii="Arial" w:hAnsi="Arial"/>
          <w:b w:val="0"/>
          <w:bCs w:val="0"/>
          <w:color w:val="auto"/>
          <w:szCs w:val="24"/>
          <w:lang w:val="en-GB"/>
        </w:rPr>
        <w:t>.,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562B89">
        <w:rPr>
          <w:rFonts w:ascii="Arial" w:hAnsi="Arial"/>
          <w:b w:val="0"/>
          <w:bCs w:val="0"/>
          <w:color w:val="auto"/>
          <w:szCs w:val="24"/>
          <w:lang w:val="en-GB"/>
        </w:rPr>
        <w:t>2022)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.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Additionally,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effective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justice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systems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enhance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credit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markets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by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enhancing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confidence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of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lenders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debt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recovery.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According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to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empirical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evidence,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increase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investment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rate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can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be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boosted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by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1.</w:t>
      </w:r>
      <w:r w:rsidR="001A2783" w:rsidRPr="00AF57A1">
        <w:rPr>
          <w:rFonts w:ascii="Arial" w:hAnsi="Arial"/>
          <w:b w:val="0"/>
          <w:bCs w:val="0"/>
          <w:color w:val="auto"/>
          <w:szCs w:val="24"/>
          <w:lang w:val="en-GB"/>
        </w:rPr>
        <w:t>6</w:t>
      </w:r>
      <w:r w:rsidR="001A2783">
        <w:rPr>
          <w:rFonts w:ascii="Arial" w:hAnsi="Arial"/>
          <w:b w:val="0"/>
          <w:bCs w:val="0"/>
          <w:color w:val="auto"/>
          <w:szCs w:val="24"/>
          <w:lang w:val="en-GB"/>
        </w:rPr>
        <w:t>%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by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10</w:t>
      </w:r>
      <w:r w:rsidR="001A2783">
        <w:rPr>
          <w:rFonts w:ascii="Arial" w:hAnsi="Arial"/>
          <w:b w:val="0"/>
          <w:bCs w:val="0"/>
          <w:color w:val="auto"/>
          <w:szCs w:val="24"/>
          <w:lang w:val="en-GB"/>
        </w:rPr>
        <w:t>%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decrease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cost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of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bankruptcy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562B89">
        <w:rPr>
          <w:rFonts w:ascii="Arial" w:hAnsi="Arial"/>
          <w:b w:val="0"/>
          <w:bCs w:val="0"/>
          <w:color w:val="auto"/>
          <w:szCs w:val="24"/>
          <w:lang w:val="en-GB"/>
        </w:rPr>
        <w:t>(Hamdani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562B89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562B89">
        <w:rPr>
          <w:rFonts w:ascii="Arial" w:hAnsi="Arial"/>
          <w:b w:val="0"/>
          <w:bCs w:val="0"/>
          <w:color w:val="auto"/>
          <w:szCs w:val="24"/>
          <w:lang w:val="en-GB"/>
        </w:rPr>
        <w:t>Yafeh,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562B89">
        <w:rPr>
          <w:rFonts w:ascii="Arial" w:hAnsi="Arial"/>
          <w:b w:val="0"/>
          <w:bCs w:val="0"/>
          <w:color w:val="auto"/>
          <w:szCs w:val="24"/>
          <w:lang w:val="en-GB"/>
        </w:rPr>
        <w:t>2013)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.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Although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financial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instruments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1A2783">
        <w:rPr>
          <w:rFonts w:ascii="Arial" w:hAnsi="Arial"/>
          <w:b w:val="0"/>
          <w:bCs w:val="0"/>
          <w:color w:val="auto"/>
          <w:szCs w:val="24"/>
          <w:lang w:val="en-GB"/>
        </w:rPr>
        <w:t>such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1A2783">
        <w:rPr>
          <w:rFonts w:ascii="Arial" w:hAnsi="Arial"/>
          <w:b w:val="0"/>
          <w:bCs w:val="0"/>
          <w:color w:val="auto"/>
          <w:szCs w:val="24"/>
          <w:lang w:val="en-GB"/>
        </w:rPr>
        <w:t>as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insurance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can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be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used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to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reduce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risks,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do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not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substitute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effective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legal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remedies.</w:t>
      </w:r>
    </w:p>
    <w:p w14:paraId="34865FC3" w14:textId="6D8DF340" w:rsidR="0047517A" w:rsidRPr="00AF57A1" w:rsidRDefault="0047517A" w:rsidP="00AF57A1">
      <w:pPr>
        <w:pStyle w:val="Heading3"/>
        <w:spacing w:before="240" w:after="240" w:line="240" w:lineRule="auto"/>
        <w:ind w:firstLine="357"/>
        <w:jc w:val="both"/>
        <w:rPr>
          <w:rFonts w:ascii="Arial" w:hAnsi="Arial"/>
          <w:b w:val="0"/>
          <w:bCs w:val="0"/>
          <w:color w:val="auto"/>
          <w:szCs w:val="24"/>
          <w:lang w:val="en-GB"/>
        </w:rPr>
      </w:pP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Target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9.5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focused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on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SDG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1A2783">
        <w:rPr>
          <w:rFonts w:ascii="Arial" w:hAnsi="Arial"/>
          <w:b w:val="0"/>
          <w:bCs w:val="0"/>
          <w:color w:val="auto"/>
          <w:szCs w:val="24"/>
          <w:lang w:val="en-GB"/>
        </w:rPr>
        <w:t>9;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1A2783">
        <w:rPr>
          <w:rFonts w:ascii="Arial" w:hAnsi="Arial"/>
          <w:b w:val="0"/>
          <w:bCs w:val="0"/>
          <w:color w:val="auto"/>
          <w:szCs w:val="24"/>
          <w:lang w:val="en-GB"/>
        </w:rPr>
        <w:t>this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becoming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more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more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1A2783">
        <w:rPr>
          <w:rFonts w:ascii="Arial" w:hAnsi="Arial"/>
          <w:b w:val="0"/>
          <w:bCs w:val="0"/>
          <w:color w:val="auto"/>
          <w:szCs w:val="24"/>
          <w:lang w:val="en-GB"/>
        </w:rPr>
        <w:t>supported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by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secure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technologically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advanced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methods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of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contracting.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Electronic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signatures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digital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authentication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improve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enforceability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reliability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of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contracts,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minim</w:t>
      </w:r>
      <w:r w:rsidR="0063089D">
        <w:rPr>
          <w:rFonts w:ascii="Arial" w:hAnsi="Arial"/>
          <w:b w:val="0"/>
          <w:bCs w:val="0"/>
          <w:color w:val="auto"/>
          <w:szCs w:val="24"/>
          <w:lang w:val="en-GB"/>
        </w:rPr>
        <w:t>is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ing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fraud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risks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of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transactions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562B89">
        <w:rPr>
          <w:rFonts w:ascii="Arial" w:hAnsi="Arial"/>
          <w:b w:val="0"/>
          <w:bCs w:val="0"/>
          <w:color w:val="auto"/>
          <w:szCs w:val="24"/>
          <w:lang w:val="en-GB"/>
        </w:rPr>
        <w:t>(Tullis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562B89" w:rsidRPr="0038778D">
        <w:rPr>
          <w:rFonts w:ascii="Arial" w:hAnsi="Arial"/>
          <w:b w:val="0"/>
          <w:bCs w:val="0"/>
          <w:i/>
          <w:color w:val="auto"/>
          <w:szCs w:val="24"/>
          <w:lang w:val="en-GB"/>
        </w:rPr>
        <w:t>et</w:t>
      </w:r>
      <w:r w:rsidR="000E2DE9">
        <w:rPr>
          <w:rFonts w:ascii="Arial" w:hAnsi="Arial"/>
          <w:b w:val="0"/>
          <w:bCs w:val="0"/>
          <w:i/>
          <w:color w:val="auto"/>
          <w:szCs w:val="24"/>
          <w:lang w:val="en-GB"/>
        </w:rPr>
        <w:t xml:space="preserve"> </w:t>
      </w:r>
      <w:r w:rsidR="00562B89" w:rsidRPr="0038778D">
        <w:rPr>
          <w:rFonts w:ascii="Arial" w:hAnsi="Arial"/>
          <w:b w:val="0"/>
          <w:bCs w:val="0"/>
          <w:i/>
          <w:color w:val="auto"/>
          <w:szCs w:val="24"/>
          <w:lang w:val="en-GB"/>
        </w:rPr>
        <w:t>al</w:t>
      </w:r>
      <w:r w:rsidR="00562B89">
        <w:rPr>
          <w:rFonts w:ascii="Arial" w:hAnsi="Arial"/>
          <w:b w:val="0"/>
          <w:bCs w:val="0"/>
          <w:color w:val="auto"/>
          <w:szCs w:val="24"/>
          <w:lang w:val="en-GB"/>
        </w:rPr>
        <w:t>.,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562B89">
        <w:rPr>
          <w:rFonts w:ascii="Arial" w:hAnsi="Arial"/>
          <w:b w:val="0"/>
          <w:bCs w:val="0"/>
          <w:color w:val="auto"/>
          <w:szCs w:val="24"/>
          <w:lang w:val="en-GB"/>
        </w:rPr>
        <w:t>2024)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.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Innovations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64253B">
        <w:rPr>
          <w:rFonts w:ascii="Arial" w:hAnsi="Arial"/>
          <w:b w:val="0"/>
          <w:bCs w:val="0"/>
          <w:color w:val="auto"/>
          <w:szCs w:val="24"/>
          <w:lang w:val="en-GB"/>
        </w:rPr>
        <w:t>such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64253B">
        <w:rPr>
          <w:rFonts w:ascii="Arial" w:hAnsi="Arial"/>
          <w:b w:val="0"/>
          <w:bCs w:val="0"/>
          <w:color w:val="auto"/>
          <w:szCs w:val="24"/>
          <w:lang w:val="en-GB"/>
        </w:rPr>
        <w:t>as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blockchain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smart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contracts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enhance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certainty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of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contract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even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more</w:t>
      </w:r>
      <w:r w:rsidR="0064253B">
        <w:rPr>
          <w:rFonts w:ascii="Arial" w:hAnsi="Arial"/>
          <w:b w:val="0"/>
          <w:bCs w:val="0"/>
          <w:color w:val="auto"/>
          <w:szCs w:val="24"/>
          <w:lang w:val="en-GB"/>
        </w:rPr>
        <w:t>;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64253B">
        <w:rPr>
          <w:rFonts w:ascii="Arial" w:hAnsi="Arial"/>
          <w:b w:val="0"/>
          <w:bCs w:val="0"/>
          <w:color w:val="auto"/>
          <w:szCs w:val="24"/>
          <w:lang w:val="en-GB"/>
        </w:rPr>
        <w:t>this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64253B">
        <w:rPr>
          <w:rFonts w:ascii="Arial" w:hAnsi="Arial"/>
          <w:b w:val="0"/>
          <w:bCs w:val="0"/>
          <w:color w:val="auto"/>
          <w:szCs w:val="24"/>
          <w:lang w:val="en-GB"/>
        </w:rPr>
        <w:t>is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64253B">
        <w:rPr>
          <w:rFonts w:ascii="Arial" w:hAnsi="Arial"/>
          <w:b w:val="0"/>
          <w:bCs w:val="0"/>
          <w:color w:val="auto"/>
          <w:szCs w:val="24"/>
          <w:lang w:val="en-GB"/>
        </w:rPr>
        <w:t>because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allow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64253B">
        <w:rPr>
          <w:rFonts w:ascii="Arial" w:hAnsi="Arial"/>
          <w:b w:val="0"/>
          <w:bCs w:val="0"/>
          <w:color w:val="auto"/>
          <w:szCs w:val="24"/>
          <w:lang w:val="en-GB"/>
        </w:rPr>
        <w:t>automatic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veri</w:t>
      </w:r>
      <w:r w:rsidR="0064253B">
        <w:rPr>
          <w:rFonts w:ascii="Arial" w:hAnsi="Arial"/>
          <w:b w:val="0"/>
          <w:bCs w:val="0"/>
          <w:color w:val="auto"/>
          <w:szCs w:val="24"/>
          <w:lang w:val="en-GB"/>
        </w:rPr>
        <w:t>fication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64253B">
        <w:rPr>
          <w:rFonts w:ascii="Arial" w:hAnsi="Arial"/>
          <w:b w:val="0"/>
          <w:bCs w:val="0"/>
          <w:color w:val="auto"/>
          <w:szCs w:val="24"/>
          <w:lang w:val="en-GB"/>
        </w:rPr>
        <w:t>of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contract,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keep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records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safely,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perform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agreements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="0064253B">
        <w:rPr>
          <w:rFonts w:ascii="Arial" w:hAnsi="Arial"/>
          <w:b w:val="0"/>
          <w:bCs w:val="0"/>
          <w:color w:val="auto"/>
          <w:szCs w:val="24"/>
          <w:lang w:val="en-GB"/>
        </w:rPr>
        <w:t>efficiently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.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Such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innovations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enhance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complicated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transactions,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enhance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confidence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between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parties,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and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aid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the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growth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of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contemporary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technology-driven</w:t>
      </w:r>
      <w:r w:rsidR="000E2DE9">
        <w:rPr>
          <w:rFonts w:ascii="Arial" w:hAnsi="Arial"/>
          <w:b w:val="0"/>
          <w:bCs w:val="0"/>
          <w:color w:val="auto"/>
          <w:szCs w:val="24"/>
          <w:lang w:val="en-GB"/>
        </w:rPr>
        <w:t xml:space="preserve"> </w:t>
      </w:r>
      <w:r w:rsidRPr="00AF57A1">
        <w:rPr>
          <w:rFonts w:ascii="Arial" w:hAnsi="Arial"/>
          <w:b w:val="0"/>
          <w:bCs w:val="0"/>
          <w:color w:val="auto"/>
          <w:szCs w:val="24"/>
          <w:lang w:val="en-GB"/>
        </w:rPr>
        <w:t>markets.</w:t>
      </w:r>
    </w:p>
    <w:p w14:paraId="32D87ED8" w14:textId="624D5592" w:rsidR="003A0B60" w:rsidRPr="00AF57A1" w:rsidRDefault="00AF57A1" w:rsidP="00AF57A1">
      <w:pPr>
        <w:pStyle w:val="Heading2"/>
        <w:spacing w:before="240" w:after="240" w:line="240" w:lineRule="auto"/>
        <w:jc w:val="both"/>
        <w:rPr>
          <w:rFonts w:ascii="Arial" w:hAnsi="Arial"/>
          <w:color w:val="FF0000"/>
          <w:sz w:val="22"/>
          <w:lang w:val="en-GB"/>
        </w:rPr>
      </w:pPr>
      <w:r w:rsidRPr="00AF57A1">
        <w:rPr>
          <w:rFonts w:ascii="Arial" w:hAnsi="Arial"/>
          <w:color w:val="FF0000"/>
          <w:sz w:val="22"/>
          <w:lang w:val="en-GB"/>
        </w:rPr>
        <w:t>LEGAL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FRAMEWORKS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FOR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ENFORCING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CONTRACTS: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A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COMPARATIVE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PERSPECTIVE</w:t>
      </w:r>
    </w:p>
    <w:p w14:paraId="3686E5E2" w14:textId="1872CF53" w:rsidR="003A0B60" w:rsidRPr="00904CDF" w:rsidRDefault="009E39C1" w:rsidP="00AF57A1">
      <w:pPr>
        <w:spacing w:before="24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Enforceable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constitute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component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well-functioning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economic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frameworks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empower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private-sector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involvement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</w:t>
      </w:r>
      <w:r w:rsidR="003570FF">
        <w:rPr>
          <w:rFonts w:ascii="Arial" w:hAnsi="Arial"/>
          <w:lang w:val="en-GB"/>
        </w:rPr>
        <w:t>N’s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SDGs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identify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ensuring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enforceability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high-priority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objective</w:t>
      </w:r>
      <w:r w:rsidR="000E2DE9">
        <w:rPr>
          <w:rFonts w:ascii="Arial" w:hAnsi="Arial"/>
          <w:lang w:val="en-GB"/>
        </w:rPr>
        <w:t xml:space="preserve"> </w:t>
      </w:r>
      <w:r w:rsidR="003570FF">
        <w:rPr>
          <w:rFonts w:ascii="Arial" w:hAnsi="Arial"/>
          <w:lang w:val="en-GB"/>
        </w:rPr>
        <w:t>at</w:t>
      </w:r>
      <w:r w:rsidR="000E2DE9">
        <w:rPr>
          <w:rFonts w:ascii="Arial" w:hAnsi="Arial"/>
          <w:lang w:val="en-GB"/>
        </w:rPr>
        <w:t xml:space="preserve"> </w:t>
      </w:r>
      <w:r w:rsidR="003570FF">
        <w:rPr>
          <w:rFonts w:ascii="Arial" w:hAnsi="Arial"/>
          <w:lang w:val="en-GB"/>
        </w:rPr>
        <w:t>minimum</w:t>
      </w:r>
      <w:r w:rsidR="000E2DE9">
        <w:rPr>
          <w:rFonts w:ascii="Arial" w:hAnsi="Arial"/>
          <w:lang w:val="en-GB"/>
        </w:rPr>
        <w:t xml:space="preserve"> </w:t>
      </w:r>
      <w:r w:rsidR="003570FF">
        <w:rPr>
          <w:rFonts w:ascii="Arial" w:hAnsi="Arial"/>
          <w:lang w:val="en-GB"/>
        </w:rPr>
        <w:t>cost</w:t>
      </w:r>
      <w:r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Actions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enhance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frameworks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increase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enforceability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support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investment,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innovation,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infrastructure,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technology</w:t>
      </w:r>
      <w:r w:rsidR="003570FF">
        <w:rPr>
          <w:rFonts w:ascii="Arial" w:hAnsi="Arial"/>
          <w:lang w:val="en-GB"/>
        </w:rPr>
        <w:t>;</w:t>
      </w:r>
      <w:r w:rsidR="000E2DE9">
        <w:rPr>
          <w:rFonts w:ascii="Arial" w:hAnsi="Arial"/>
          <w:lang w:val="en-GB"/>
        </w:rPr>
        <w:t xml:space="preserve"> </w:t>
      </w:r>
      <w:r w:rsidR="003570FF">
        <w:rPr>
          <w:rFonts w:ascii="Arial" w:hAnsi="Arial"/>
          <w:lang w:val="en-GB"/>
        </w:rPr>
        <w:t>these</w:t>
      </w:r>
      <w:r w:rsidR="000E2DE9">
        <w:rPr>
          <w:rFonts w:ascii="Arial" w:hAnsi="Arial"/>
          <w:lang w:val="en-GB"/>
        </w:rPr>
        <w:t xml:space="preserve"> </w:t>
      </w:r>
      <w:r w:rsidR="004747F6"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critical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enablers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key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indicators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within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SDGs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(Lytvyn</w:t>
      </w:r>
      <w:r w:rsidR="000E2DE9">
        <w:rPr>
          <w:rFonts w:ascii="Arial" w:hAnsi="Arial"/>
          <w:lang w:val="en-GB"/>
        </w:rPr>
        <w:t xml:space="preserve"> </w:t>
      </w:r>
      <w:r w:rsidR="00562B89" w:rsidRPr="0038778D">
        <w:rPr>
          <w:rFonts w:ascii="Arial" w:hAnsi="Arial"/>
          <w:i/>
          <w:lang w:val="en-GB"/>
        </w:rPr>
        <w:t>et</w:t>
      </w:r>
      <w:r w:rsidR="000E2DE9">
        <w:rPr>
          <w:rFonts w:ascii="Arial" w:hAnsi="Arial"/>
          <w:i/>
          <w:lang w:val="en-GB"/>
        </w:rPr>
        <w:t xml:space="preserve"> </w:t>
      </w:r>
      <w:r w:rsidR="00562B89" w:rsidRPr="0038778D">
        <w:rPr>
          <w:rFonts w:ascii="Arial" w:hAnsi="Arial"/>
          <w:i/>
          <w:lang w:val="en-GB"/>
        </w:rPr>
        <w:t>al</w:t>
      </w:r>
      <w:r w:rsidR="00562B89">
        <w:rPr>
          <w:rFonts w:ascii="Arial" w:hAnsi="Arial"/>
          <w:lang w:val="en-GB"/>
        </w:rPr>
        <w:t>.,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2023)</w:t>
      </w:r>
      <w:r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Aligning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lastRenderedPageBreak/>
        <w:t>reform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SDGs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provides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reference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framework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clear,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internationally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recogn</w:t>
      </w:r>
      <w:r w:rsidR="0063089D">
        <w:rPr>
          <w:rFonts w:ascii="Arial" w:hAnsi="Arial"/>
          <w:lang w:val="en-GB"/>
        </w:rPr>
        <w:t>is</w:t>
      </w:r>
      <w:r w:rsidRPr="00904CDF">
        <w:rPr>
          <w:rFonts w:ascii="Arial" w:hAnsi="Arial"/>
          <w:lang w:val="en-GB"/>
        </w:rPr>
        <w:t>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goals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governments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stakeholders.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Targets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16.3,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8.1,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9.5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facilitate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integrated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approach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shore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up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systems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join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sustainability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agendas.</w:t>
      </w:r>
    </w:p>
    <w:p w14:paraId="702DD887" w14:textId="4DC4B97C" w:rsidR="003A0B60" w:rsidRPr="00904CDF" w:rsidRDefault="009E39C1" w:rsidP="00904CDF">
      <w:pPr>
        <w:spacing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comprehensive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comparative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survey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identifies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alternative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approaches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their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respective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strengths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weaknesses.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frameworks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governing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vary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considerably.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Civil-law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jurisdictions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based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codified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rules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rely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statutes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fill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gaps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resolve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ambiguities.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Common-law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systems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depend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precedents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derived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from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prior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court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decisions.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type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measurably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influences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effect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investment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Both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civil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common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offer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general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guidance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enhancing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means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further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Jurisdictions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combine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elements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both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provide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opportunities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alternative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methods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specifically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designed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support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such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objectives.</w:t>
      </w:r>
    </w:p>
    <w:p w14:paraId="29D8B38C" w14:textId="78E2299F" w:rsidR="003A0B60" w:rsidRPr="00AF57A1" w:rsidRDefault="009E39C1" w:rsidP="00AF57A1">
      <w:pPr>
        <w:spacing w:before="240" w:after="120" w:line="240" w:lineRule="auto"/>
        <w:jc w:val="both"/>
        <w:rPr>
          <w:rFonts w:ascii="Arial" w:hAnsi="Arial" w:cs="Calibri"/>
          <w:b/>
          <w:bCs/>
          <w:szCs w:val="24"/>
          <w:lang w:val="en-GB"/>
        </w:rPr>
      </w:pPr>
      <w:r w:rsidRPr="00AF57A1">
        <w:rPr>
          <w:rFonts w:ascii="Arial" w:hAnsi="Arial" w:cs="Calibri"/>
          <w:b/>
          <w:bCs/>
          <w:szCs w:val="24"/>
          <w:lang w:val="en-GB"/>
        </w:rPr>
        <w:t>Civil</w:t>
      </w:r>
      <w:r w:rsidR="000E2DE9">
        <w:rPr>
          <w:rFonts w:ascii="Arial" w:hAnsi="Arial" w:cs="Calibri"/>
          <w:b/>
          <w:bCs/>
          <w:szCs w:val="24"/>
          <w:lang w:val="en-GB"/>
        </w:rPr>
        <w:t xml:space="preserve"> </w:t>
      </w:r>
      <w:r w:rsidRPr="00AF57A1">
        <w:rPr>
          <w:rFonts w:ascii="Arial" w:hAnsi="Arial" w:cs="Calibri"/>
          <w:b/>
          <w:bCs/>
          <w:szCs w:val="24"/>
          <w:lang w:val="en-GB"/>
        </w:rPr>
        <w:t>Law</w:t>
      </w:r>
      <w:r w:rsidR="000E2DE9">
        <w:rPr>
          <w:rFonts w:ascii="Arial" w:hAnsi="Arial" w:cs="Calibri"/>
          <w:b/>
          <w:bCs/>
          <w:szCs w:val="24"/>
          <w:lang w:val="en-GB"/>
        </w:rPr>
        <w:t xml:space="preserve"> </w:t>
      </w:r>
      <w:r w:rsidRPr="00AF57A1">
        <w:rPr>
          <w:rFonts w:ascii="Arial" w:hAnsi="Arial" w:cs="Calibri"/>
          <w:b/>
          <w:bCs/>
          <w:szCs w:val="24"/>
          <w:lang w:val="en-GB"/>
        </w:rPr>
        <w:t>Traditions</w:t>
      </w:r>
      <w:r w:rsidR="000E2DE9">
        <w:rPr>
          <w:rFonts w:ascii="Arial" w:hAnsi="Arial" w:cs="Calibri"/>
          <w:b/>
          <w:bCs/>
          <w:szCs w:val="24"/>
          <w:lang w:val="en-GB"/>
        </w:rPr>
        <w:t xml:space="preserve"> </w:t>
      </w:r>
      <w:r w:rsidRPr="00AF57A1">
        <w:rPr>
          <w:rFonts w:ascii="Arial" w:hAnsi="Arial" w:cs="Calibri"/>
          <w:b/>
          <w:bCs/>
          <w:szCs w:val="24"/>
          <w:lang w:val="en-GB"/>
        </w:rPr>
        <w:t>and</w:t>
      </w:r>
      <w:r w:rsidR="000E2DE9">
        <w:rPr>
          <w:rFonts w:ascii="Arial" w:hAnsi="Arial" w:cs="Calibri"/>
          <w:b/>
          <w:bCs/>
          <w:szCs w:val="24"/>
          <w:lang w:val="en-GB"/>
        </w:rPr>
        <w:t xml:space="preserve"> </w:t>
      </w:r>
      <w:r w:rsidRPr="00AF57A1">
        <w:rPr>
          <w:rFonts w:ascii="Arial" w:hAnsi="Arial" w:cs="Calibri"/>
          <w:b/>
          <w:bCs/>
          <w:szCs w:val="24"/>
          <w:lang w:val="en-GB"/>
        </w:rPr>
        <w:t>Formal</w:t>
      </w:r>
      <w:r w:rsidR="000E2DE9">
        <w:rPr>
          <w:rFonts w:ascii="Arial" w:hAnsi="Arial" w:cs="Calibri"/>
          <w:b/>
          <w:bCs/>
          <w:szCs w:val="24"/>
          <w:lang w:val="en-GB"/>
        </w:rPr>
        <w:t xml:space="preserve"> </w:t>
      </w:r>
      <w:r w:rsidRPr="00AF57A1">
        <w:rPr>
          <w:rFonts w:ascii="Arial" w:hAnsi="Arial" w:cs="Calibri"/>
          <w:b/>
          <w:bCs/>
          <w:szCs w:val="24"/>
          <w:lang w:val="en-GB"/>
        </w:rPr>
        <w:t>Contracting</w:t>
      </w:r>
    </w:p>
    <w:p w14:paraId="796CC91D" w14:textId="0BF6ED20" w:rsidR="003A0B60" w:rsidRPr="00904CDF" w:rsidRDefault="009E39C1" w:rsidP="00AF57A1">
      <w:pPr>
        <w:spacing w:before="12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Civil-law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jurisdictions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build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comprehensive,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legislatively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formali</w:t>
      </w:r>
      <w:r w:rsidR="009F1197" w:rsidRPr="00904CDF">
        <w:rPr>
          <w:rFonts w:ascii="Arial" w:hAnsi="Arial"/>
          <w:lang w:val="en-GB"/>
        </w:rPr>
        <w:t>sed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systems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promote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certainty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predictability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through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general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laws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widely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accepted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easily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accessible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users.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reinforce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public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private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financing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infrastructure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by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providing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legally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operationally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secure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projects.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frameworks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grounded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common-law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principles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practice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portray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enforceability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more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nuanced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manner,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although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tools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exist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better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align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enforceability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objectives.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Civil-law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countries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should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consider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aligning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their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domestic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international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guidelines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enforcement.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Such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measures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would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incorporate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non-discrimination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principles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support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multi-modal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delivery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cross-border</w:t>
      </w:r>
      <w:r w:rsidR="000E2DE9">
        <w:rPr>
          <w:rFonts w:ascii="Arial" w:hAnsi="Arial"/>
          <w:lang w:val="en-GB"/>
        </w:rPr>
        <w:t xml:space="preserve"> </w:t>
      </w:r>
      <w:r w:rsidR="0063089D">
        <w:rPr>
          <w:rFonts w:ascii="Arial" w:hAnsi="Arial"/>
          <w:lang w:val="en-GB"/>
        </w:rPr>
        <w:t>co-o</w:t>
      </w:r>
      <w:r w:rsidRPr="00904CDF">
        <w:rPr>
          <w:rFonts w:ascii="Arial" w:hAnsi="Arial"/>
          <w:lang w:val="en-GB"/>
        </w:rPr>
        <w:t>peration</w:t>
      </w:r>
      <w:r w:rsidR="009F1197" w:rsidRPr="00904CDF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while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other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jurisdictions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remain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precluded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from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signing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comprehensive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treaties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formalis</w:t>
      </w:r>
      <w:r w:rsidRPr="00904CDF">
        <w:rPr>
          <w:rFonts w:ascii="Arial" w:hAnsi="Arial"/>
          <w:lang w:val="en-GB"/>
        </w:rPr>
        <w:t>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such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measures.</w:t>
      </w:r>
    </w:p>
    <w:p w14:paraId="1FD69EAF" w14:textId="2A6F11F3" w:rsidR="003A0B60" w:rsidRPr="00904CDF" w:rsidRDefault="009E39C1" w:rsidP="00AF57A1">
      <w:pPr>
        <w:spacing w:before="240" w:after="240" w:line="240" w:lineRule="auto"/>
        <w:ind w:firstLine="357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Formal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govern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relations</w:t>
      </w:r>
      <w:r w:rsidR="003570FF">
        <w:rPr>
          <w:rFonts w:ascii="Arial" w:hAnsi="Arial"/>
          <w:lang w:val="en-GB"/>
        </w:rPr>
        <w:t>hips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between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parties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civil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environments.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result,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explicit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rules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codify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types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available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under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standard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language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constrains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design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options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open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parties.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Since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they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facilitate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decision-</w:t>
      </w:r>
      <w:r w:rsidRPr="00904CDF">
        <w:rPr>
          <w:rFonts w:ascii="Arial" w:hAnsi="Arial"/>
          <w:lang w:val="en-GB"/>
        </w:rPr>
        <w:t>making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interaction,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typically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not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amended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after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execution.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Therefore,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interesting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cases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or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emergence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new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types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contracting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principal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sources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inspiration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innovative,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longer-term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(Vig,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2023)</w:t>
      </w:r>
      <w:r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main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backup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provisions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supporting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these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include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capacity,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commencement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termination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conditions,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pre-emption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rights,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justifications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non-execution</w:t>
      </w:r>
      <w:r w:rsidRPr="00904CDF">
        <w:rPr>
          <w:rFonts w:ascii="Arial" w:hAnsi="Arial"/>
          <w:lang w:val="en-GB"/>
        </w:rPr>
        <w:t>.</w:t>
      </w:r>
    </w:p>
    <w:p w14:paraId="07926B8E" w14:textId="46DF3C12" w:rsidR="003A0B60" w:rsidRPr="00AF57A1" w:rsidRDefault="009E39C1" w:rsidP="00AF57A1">
      <w:pPr>
        <w:pStyle w:val="Heading3"/>
        <w:spacing w:before="240" w:after="120" w:line="240" w:lineRule="auto"/>
        <w:jc w:val="both"/>
        <w:rPr>
          <w:rFonts w:ascii="Arial" w:hAnsi="Arial"/>
          <w:color w:val="auto"/>
          <w:lang w:val="en-GB"/>
        </w:rPr>
      </w:pPr>
      <w:r w:rsidRPr="00AF57A1">
        <w:rPr>
          <w:rFonts w:ascii="Arial" w:hAnsi="Arial"/>
          <w:color w:val="auto"/>
          <w:lang w:val="en-GB"/>
        </w:rPr>
        <w:t>Common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Law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Systems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and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Procedural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Efficiency</w:t>
      </w:r>
    </w:p>
    <w:p w14:paraId="1734E11C" w14:textId="1E17BB86" w:rsidR="003A0B60" w:rsidRPr="00904CDF" w:rsidRDefault="009E39C1" w:rsidP="00AF57A1">
      <w:pPr>
        <w:spacing w:before="12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Insulating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from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political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whims,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commercial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uncertainty,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infringing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claims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forms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economics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literature.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This</w:t>
      </w:r>
      <w:r w:rsidR="000E2DE9">
        <w:rPr>
          <w:rFonts w:ascii="Arial" w:hAnsi="Arial"/>
          <w:lang w:val="en-GB"/>
        </w:rPr>
        <w:t xml:space="preserve"> </w:t>
      </w:r>
      <w:r w:rsidR="003570FF">
        <w:rPr>
          <w:rFonts w:ascii="Arial" w:hAnsi="Arial"/>
          <w:lang w:val="en-GB"/>
        </w:rPr>
        <w:t>paper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frames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high-level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discussion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how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contracting,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development,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outcomes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="009F1197" w:rsidRPr="00904CDF">
        <w:rPr>
          <w:rFonts w:ascii="Arial" w:hAnsi="Arial"/>
          <w:lang w:val="en-GB"/>
        </w:rPr>
        <w:t>linked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this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tradition.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First,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theoretical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foundations</w:t>
      </w:r>
      <w:r w:rsidR="000E2DE9">
        <w:rPr>
          <w:rFonts w:ascii="Arial" w:hAnsi="Arial"/>
          <w:lang w:val="en-GB"/>
        </w:rPr>
        <w:t xml:space="preserve"> </w:t>
      </w:r>
      <w:r w:rsidR="00303E77"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linking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enforceable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climate-adaptive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investments,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domestically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or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abroad,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prominent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policy.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Reliable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affects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investments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public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goods</w:t>
      </w:r>
      <w:r w:rsidR="006B6ED0" w:rsidRPr="00904CDF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such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infrastructure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energy,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shaping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their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quality,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quantity,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speed</w:t>
      </w:r>
      <w:r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  <w:r w:rsidR="003570FF">
        <w:rPr>
          <w:rFonts w:ascii="Arial" w:hAnsi="Arial"/>
          <w:lang w:val="en-GB"/>
        </w:rPr>
        <w:t>Second,</w:t>
      </w:r>
      <w:r w:rsidR="000E2DE9">
        <w:rPr>
          <w:rFonts w:ascii="Arial" w:hAnsi="Arial"/>
          <w:lang w:val="en-GB"/>
        </w:rPr>
        <w:t xml:space="preserve"> </w:t>
      </w:r>
      <w:r w:rsidR="003570FF"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channel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finance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towards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development-enhancing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sectors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otherwise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face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resource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constraints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by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allocating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risk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setting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incentive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structures.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Third,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mitigate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social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disorder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by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equitably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transparently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sharing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benefits,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thereby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enabl</w:t>
      </w:r>
      <w:r w:rsidRPr="00904CDF">
        <w:rPr>
          <w:rFonts w:ascii="Arial" w:hAnsi="Arial"/>
          <w:lang w:val="en-GB"/>
        </w:rPr>
        <w:t>ing</w:t>
      </w:r>
      <w:r w:rsidR="000E2DE9">
        <w:rPr>
          <w:rFonts w:ascii="Arial" w:hAnsi="Arial"/>
          <w:lang w:val="en-GB"/>
        </w:rPr>
        <w:t xml:space="preserve"> </w:t>
      </w:r>
      <w:r w:rsidRPr="0038778D">
        <w:rPr>
          <w:rFonts w:ascii="Arial" w:hAnsi="Arial"/>
          <w:i/>
          <w:lang w:val="en-GB"/>
        </w:rPr>
        <w:t>ex</w:t>
      </w:r>
      <w:r w:rsidR="000E2DE9">
        <w:rPr>
          <w:rFonts w:ascii="Arial" w:hAnsi="Arial"/>
          <w:i/>
          <w:lang w:val="en-GB"/>
        </w:rPr>
        <w:t xml:space="preserve"> </w:t>
      </w:r>
      <w:r w:rsidRPr="0038778D">
        <w:rPr>
          <w:rFonts w:ascii="Arial" w:hAnsi="Arial"/>
          <w:i/>
          <w:lang w:val="en-GB"/>
        </w:rPr>
        <w:t>ante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investment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(Du</w:t>
      </w:r>
      <w:r w:rsidR="000E2DE9">
        <w:rPr>
          <w:rFonts w:ascii="Arial" w:hAnsi="Arial"/>
          <w:lang w:val="en-GB"/>
        </w:rPr>
        <w:t xml:space="preserve"> </w:t>
      </w:r>
      <w:r w:rsidR="00562B89" w:rsidRPr="0038778D">
        <w:rPr>
          <w:rFonts w:ascii="Arial" w:hAnsi="Arial"/>
          <w:i/>
          <w:lang w:val="en-GB"/>
        </w:rPr>
        <w:t>et</w:t>
      </w:r>
      <w:r w:rsidR="000E2DE9">
        <w:rPr>
          <w:rFonts w:ascii="Arial" w:hAnsi="Arial"/>
          <w:i/>
          <w:lang w:val="en-GB"/>
        </w:rPr>
        <w:t xml:space="preserve"> </w:t>
      </w:r>
      <w:r w:rsidR="00562B89" w:rsidRPr="0038778D">
        <w:rPr>
          <w:rFonts w:ascii="Arial" w:hAnsi="Arial"/>
          <w:i/>
          <w:lang w:val="en-GB"/>
        </w:rPr>
        <w:t>al</w:t>
      </w:r>
      <w:r w:rsidR="00562B89">
        <w:rPr>
          <w:rFonts w:ascii="Arial" w:hAnsi="Arial"/>
          <w:lang w:val="en-GB"/>
        </w:rPr>
        <w:t>.,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2022)</w:t>
      </w:r>
      <w:r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Access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precisely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defined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property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ownership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interfaces,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infrastructure,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energy,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C14E04" w:rsidRPr="00904CDF">
        <w:rPr>
          <w:rFonts w:ascii="Arial" w:hAnsi="Arial"/>
          <w:lang w:val="en-GB"/>
        </w:rPr>
        <w:t>PPPs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underpins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benefits.</w:t>
      </w:r>
    </w:p>
    <w:p w14:paraId="62AC9D53" w14:textId="20177A48" w:rsidR="003A0B60" w:rsidRPr="00904CDF" w:rsidRDefault="009E39C1" w:rsidP="00AF57A1">
      <w:pPr>
        <w:spacing w:before="240" w:after="240" w:line="240" w:lineRule="auto"/>
        <w:ind w:firstLine="357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Investments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grounded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clear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rights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through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infrastructure,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energy,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partnerships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realise</w:t>
      </w:r>
      <w:r w:rsidR="000E2DE9">
        <w:rPr>
          <w:rFonts w:ascii="Arial" w:hAnsi="Arial"/>
          <w:lang w:val="en-GB"/>
        </w:rPr>
        <w:t xml:space="preserve"> </w:t>
      </w:r>
      <w:r w:rsidR="006B6ED0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third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link.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Ensuring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financing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reaches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least</w:t>
      </w:r>
      <w:r w:rsidR="000E2DE9">
        <w:rPr>
          <w:rFonts w:ascii="Arial" w:hAnsi="Arial"/>
          <w:lang w:val="en-GB"/>
        </w:rPr>
        <w:t xml:space="preserve"> </w:t>
      </w:r>
      <w:r w:rsidR="00AC2602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AC2602" w:rsidRPr="00904CDF">
        <w:rPr>
          <w:rFonts w:ascii="Arial" w:hAnsi="Arial"/>
          <w:lang w:val="en-GB"/>
        </w:rPr>
        <w:t>most</w:t>
      </w:r>
      <w:r w:rsidR="000E2DE9">
        <w:rPr>
          <w:rFonts w:ascii="Arial" w:hAnsi="Arial"/>
          <w:lang w:val="en-GB"/>
        </w:rPr>
        <w:t xml:space="preserve"> </w:t>
      </w:r>
      <w:r w:rsidR="00AC2602" w:rsidRPr="00904CDF">
        <w:rPr>
          <w:rFonts w:ascii="Arial" w:hAnsi="Arial"/>
          <w:lang w:val="en-GB"/>
        </w:rPr>
        <w:t>fragile</w:t>
      </w:r>
      <w:r w:rsidR="000E2DE9">
        <w:rPr>
          <w:rFonts w:ascii="Arial" w:hAnsi="Arial"/>
          <w:lang w:val="en-GB"/>
        </w:rPr>
        <w:t xml:space="preserve"> </w:t>
      </w:r>
      <w:r w:rsidR="00AC2602" w:rsidRPr="00904CDF">
        <w:rPr>
          <w:rFonts w:ascii="Arial" w:hAnsi="Arial"/>
          <w:lang w:val="en-GB"/>
        </w:rPr>
        <w:t>nations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through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ratchet-like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minimum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thresholds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represents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fourth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mechanism.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Enhanced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access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establishes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simple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but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insightful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evaluation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criteria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agenda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against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SDG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targets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8.1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9.5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rather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than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obscure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scores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naive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rank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counterfactuals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(Poncibo,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2022)</w:t>
      </w:r>
      <w:r w:rsidR="009B6A2F" w:rsidRPr="00904CDF">
        <w:rPr>
          <w:rFonts w:ascii="Arial" w:hAnsi="Arial"/>
          <w:lang w:val="en-GB"/>
        </w:rPr>
        <w:t>.</w:t>
      </w:r>
    </w:p>
    <w:p w14:paraId="131C7529" w14:textId="2E988A1B" w:rsidR="003A0B60" w:rsidRPr="00904CDF" w:rsidRDefault="009E39C1" w:rsidP="00AF57A1">
      <w:pPr>
        <w:spacing w:before="240" w:after="240" w:line="240" w:lineRule="auto"/>
        <w:ind w:firstLine="357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lastRenderedPageBreak/>
        <w:t>Selecting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frameworks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equate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formal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through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clear,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universal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rules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enduring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principles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reinforces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theoretical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points.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systems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marry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rights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definition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predictable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adjudication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timeliness.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Common-law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systems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stand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out</w:t>
      </w:r>
      <w:r w:rsidR="000E2DE9">
        <w:rPr>
          <w:rFonts w:ascii="Arial" w:hAnsi="Arial"/>
          <w:lang w:val="en-GB"/>
        </w:rPr>
        <w:t xml:space="preserve"> </w:t>
      </w:r>
      <w:r w:rsidR="00AC2602"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narrowly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focused,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yet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crucial,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procedural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efficiency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attributes.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design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reviews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under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SDG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targets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guidance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identifying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feasible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systems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stress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formal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equivalently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(Baroncini</w:t>
      </w:r>
      <w:r w:rsidR="000E2DE9">
        <w:rPr>
          <w:rFonts w:ascii="Arial" w:hAnsi="Arial"/>
          <w:lang w:val="en-GB"/>
        </w:rPr>
        <w:t xml:space="preserve"> </w:t>
      </w:r>
      <w:r w:rsidR="00562B89" w:rsidRPr="0038778D">
        <w:rPr>
          <w:rFonts w:ascii="Arial" w:hAnsi="Arial"/>
          <w:i/>
          <w:lang w:val="en-GB"/>
        </w:rPr>
        <w:t>et</w:t>
      </w:r>
      <w:r w:rsidR="000E2DE9">
        <w:rPr>
          <w:rFonts w:ascii="Arial" w:hAnsi="Arial"/>
          <w:i/>
          <w:lang w:val="en-GB"/>
        </w:rPr>
        <w:t xml:space="preserve"> </w:t>
      </w:r>
      <w:r w:rsidR="00562B89" w:rsidRPr="0038778D">
        <w:rPr>
          <w:rFonts w:ascii="Arial" w:hAnsi="Arial"/>
          <w:i/>
          <w:lang w:val="en-GB"/>
        </w:rPr>
        <w:t>al</w:t>
      </w:r>
      <w:r w:rsidR="00562B89">
        <w:rPr>
          <w:rFonts w:ascii="Arial" w:hAnsi="Arial"/>
          <w:lang w:val="en-GB"/>
        </w:rPr>
        <w:t>.,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2025;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Osifo,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2019)</w:t>
      </w:r>
      <w:r w:rsidR="00222BAA" w:rsidRPr="00904CDF">
        <w:rPr>
          <w:rFonts w:ascii="Arial" w:hAnsi="Arial"/>
          <w:color w:val="000000"/>
          <w:lang w:val="en-GB"/>
        </w:rPr>
        <w:t>.</w:t>
      </w:r>
    </w:p>
    <w:p w14:paraId="45C770F9" w14:textId="0D947ADD" w:rsidR="003A0B60" w:rsidRPr="00AF57A1" w:rsidRDefault="009E39C1" w:rsidP="00AF57A1">
      <w:pPr>
        <w:pStyle w:val="Heading3"/>
        <w:spacing w:before="240" w:after="120" w:line="240" w:lineRule="auto"/>
        <w:jc w:val="both"/>
        <w:rPr>
          <w:rFonts w:ascii="Arial" w:hAnsi="Arial"/>
          <w:color w:val="auto"/>
          <w:lang w:val="en-GB"/>
        </w:rPr>
      </w:pPr>
      <w:r w:rsidRPr="00AF57A1">
        <w:rPr>
          <w:rFonts w:ascii="Arial" w:hAnsi="Arial"/>
          <w:color w:val="auto"/>
          <w:lang w:val="en-GB"/>
        </w:rPr>
        <w:t>Mixed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Jurisdictions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and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Hybrid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Approaches</w:t>
      </w:r>
    </w:p>
    <w:p w14:paraId="0F45DA73" w14:textId="76B515BF" w:rsidR="003A0B60" w:rsidRPr="00904CDF" w:rsidRDefault="009E39C1" w:rsidP="00AF57A1">
      <w:pPr>
        <w:spacing w:before="12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Most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jurisdictions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either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civil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common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system.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Hybrid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traditions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mixing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both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systems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have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emerged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locales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where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colonial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powers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exported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doctrines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coexisted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indigenous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systems.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effect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remains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unclear.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Jurisdictions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affected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substantial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climate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change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often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mixed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hybrid,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contractual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compliance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influences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investment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innovation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essential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adaptation.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Countries</w:t>
      </w:r>
      <w:r w:rsidR="000E2DE9">
        <w:rPr>
          <w:rFonts w:ascii="Arial" w:hAnsi="Arial"/>
          <w:lang w:val="en-GB"/>
        </w:rPr>
        <w:t xml:space="preserve"> </w:t>
      </w:r>
      <w:r w:rsidR="00AC2602"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="00AC2602"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="00AC2602" w:rsidRPr="00904CDF">
        <w:rPr>
          <w:rFonts w:ascii="Arial" w:hAnsi="Arial"/>
          <w:lang w:val="en-GB"/>
        </w:rPr>
        <w:t>highly</w:t>
      </w:r>
      <w:r w:rsidR="000E2DE9">
        <w:rPr>
          <w:rFonts w:ascii="Arial" w:hAnsi="Arial"/>
          <w:lang w:val="en-GB"/>
        </w:rPr>
        <w:t xml:space="preserve"> </w:t>
      </w:r>
      <w:r w:rsidR="00AC2602" w:rsidRPr="00904CDF">
        <w:rPr>
          <w:rFonts w:ascii="Arial" w:hAnsi="Arial"/>
          <w:lang w:val="en-GB"/>
        </w:rPr>
        <w:t>dependent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single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natural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resource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have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also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followed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mixed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hybrid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path.</w:t>
      </w:r>
    </w:p>
    <w:p w14:paraId="05DA2707" w14:textId="1C5981E6" w:rsidR="003A0B60" w:rsidRPr="00904CDF" w:rsidRDefault="009E39C1" w:rsidP="00AF57A1">
      <w:pPr>
        <w:spacing w:before="240" w:after="240" w:line="240" w:lineRule="auto"/>
        <w:ind w:firstLine="357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Civil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common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doctrines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stem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from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different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formations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system.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civil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tradition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gives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primacy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legislative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rules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contained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statutes,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codes,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other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binding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materials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issued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legislature</w:t>
      </w:r>
      <w:r w:rsidR="00B70287"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contrast,</w:t>
      </w:r>
      <w:r w:rsidR="000E2DE9">
        <w:rPr>
          <w:rFonts w:ascii="Arial" w:hAnsi="Arial"/>
          <w:lang w:val="en-GB"/>
        </w:rPr>
        <w:t xml:space="preserve"> </w:t>
      </w:r>
      <w:r w:rsidR="00AC2602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AC2602" w:rsidRPr="00904CDF">
        <w:rPr>
          <w:rFonts w:ascii="Arial" w:hAnsi="Arial"/>
          <w:lang w:val="en-GB"/>
        </w:rPr>
        <w:t>common</w:t>
      </w:r>
      <w:r w:rsidR="000E2DE9">
        <w:rPr>
          <w:rFonts w:ascii="Arial" w:hAnsi="Arial"/>
          <w:lang w:val="en-GB"/>
        </w:rPr>
        <w:t xml:space="preserve"> </w:t>
      </w:r>
      <w:r w:rsidR="00AC2602" w:rsidRPr="00904CDF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="00AC2602" w:rsidRPr="00904CDF">
        <w:rPr>
          <w:rFonts w:ascii="Arial" w:hAnsi="Arial"/>
          <w:lang w:val="en-GB"/>
        </w:rPr>
        <w:t>system</w:t>
      </w:r>
      <w:r w:rsidR="000E2DE9">
        <w:rPr>
          <w:rFonts w:ascii="Arial" w:hAnsi="Arial"/>
          <w:lang w:val="en-GB"/>
        </w:rPr>
        <w:t xml:space="preserve"> </w:t>
      </w:r>
      <w:r w:rsidR="00AC2602" w:rsidRPr="00904CDF">
        <w:rPr>
          <w:rFonts w:ascii="Arial" w:hAnsi="Arial"/>
          <w:lang w:val="en-GB"/>
        </w:rPr>
        <w:t>emerges</w:t>
      </w:r>
      <w:r w:rsidR="000E2DE9">
        <w:rPr>
          <w:rFonts w:ascii="Arial" w:hAnsi="Arial"/>
          <w:lang w:val="en-GB"/>
        </w:rPr>
        <w:t xml:space="preserve"> </w:t>
      </w:r>
      <w:r w:rsidR="00AC2602" w:rsidRPr="00904CDF">
        <w:rPr>
          <w:rFonts w:ascii="Arial" w:hAnsi="Arial"/>
          <w:lang w:val="en-GB"/>
        </w:rPr>
        <w:t>gradually</w:t>
      </w:r>
      <w:r w:rsidR="000E2DE9">
        <w:rPr>
          <w:rFonts w:ascii="Arial" w:hAnsi="Arial"/>
          <w:lang w:val="en-GB"/>
        </w:rPr>
        <w:t xml:space="preserve"> </w:t>
      </w:r>
      <w:r w:rsidR="00AC2602" w:rsidRPr="00904CDF">
        <w:rPr>
          <w:rFonts w:ascii="Arial" w:hAnsi="Arial"/>
          <w:lang w:val="en-GB"/>
        </w:rPr>
        <w:t>from</w:t>
      </w:r>
      <w:r w:rsidR="000E2DE9">
        <w:rPr>
          <w:rFonts w:ascii="Arial" w:hAnsi="Arial"/>
          <w:lang w:val="en-GB"/>
        </w:rPr>
        <w:t xml:space="preserve"> </w:t>
      </w:r>
      <w:r w:rsidR="00AC2602" w:rsidRPr="00904CDF">
        <w:rPr>
          <w:rFonts w:ascii="Arial" w:hAnsi="Arial"/>
          <w:lang w:val="en-GB"/>
        </w:rPr>
        <w:t>court</w:t>
      </w:r>
      <w:r w:rsidR="000E2DE9">
        <w:rPr>
          <w:rFonts w:ascii="Arial" w:hAnsi="Arial"/>
          <w:lang w:val="en-GB"/>
        </w:rPr>
        <w:t xml:space="preserve"> </w:t>
      </w:r>
      <w:r w:rsidR="00AC2602" w:rsidRPr="00904CDF">
        <w:rPr>
          <w:rFonts w:ascii="Arial" w:hAnsi="Arial"/>
          <w:lang w:val="en-GB"/>
        </w:rPr>
        <w:t>precedent</w:t>
      </w:r>
      <w:r w:rsidRPr="00904CDF">
        <w:rPr>
          <w:rFonts w:ascii="Arial" w:hAnsi="Arial"/>
          <w:lang w:val="en-GB"/>
        </w:rPr>
        <w:t>s.</w:t>
      </w:r>
    </w:p>
    <w:p w14:paraId="1D17E254" w14:textId="64AD1B45" w:rsidR="003A0B60" w:rsidRPr="00AF57A1" w:rsidRDefault="00AF57A1" w:rsidP="00AF57A1">
      <w:pPr>
        <w:pStyle w:val="Heading2"/>
        <w:spacing w:before="240" w:after="240" w:line="240" w:lineRule="auto"/>
        <w:jc w:val="both"/>
        <w:rPr>
          <w:rFonts w:ascii="Arial" w:hAnsi="Arial"/>
          <w:color w:val="FF0000"/>
          <w:sz w:val="22"/>
          <w:lang w:val="en-GB"/>
        </w:rPr>
      </w:pPr>
      <w:r w:rsidRPr="00AF57A1">
        <w:rPr>
          <w:rFonts w:ascii="Arial" w:hAnsi="Arial"/>
          <w:color w:val="FF0000"/>
          <w:sz w:val="22"/>
          <w:lang w:val="en-GB"/>
        </w:rPr>
        <w:t>MECHANISMS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TO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ENHANCE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CONTRACT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ENFORCEMENT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FOR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SUSTAINABLE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DEVELOPMENT</w:t>
      </w:r>
    </w:p>
    <w:p w14:paraId="38527F7E" w14:textId="0AE8DA44" w:rsidR="003A0B60" w:rsidRPr="00904CDF" w:rsidRDefault="009E39C1" w:rsidP="00AF57A1">
      <w:pPr>
        <w:spacing w:before="24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Well-functioning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contractors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essential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achieving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allocative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efficiency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enhance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investments,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innovation,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infrastructure.</w:t>
      </w:r>
      <w:r w:rsidR="000E2DE9">
        <w:rPr>
          <w:rFonts w:ascii="Arial" w:hAnsi="Arial"/>
          <w:lang w:val="en-GB"/>
        </w:rPr>
        <w:t xml:space="preserve"> </w:t>
      </w:r>
      <w:r w:rsidR="00DD6815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="00DD6815">
        <w:rPr>
          <w:rFonts w:ascii="Arial" w:hAnsi="Arial"/>
          <w:lang w:val="en-GB"/>
        </w:rPr>
        <w:t>turn,</w:t>
      </w:r>
      <w:r w:rsidR="000E2DE9">
        <w:rPr>
          <w:rFonts w:ascii="Arial" w:hAnsi="Arial"/>
          <w:lang w:val="en-GB"/>
        </w:rPr>
        <w:t xml:space="preserve"> </w:t>
      </w:r>
      <w:r w:rsidR="00DD6815" w:rsidRPr="00904CDF">
        <w:rPr>
          <w:rFonts w:ascii="Arial" w:hAnsi="Arial"/>
          <w:lang w:val="en-GB"/>
        </w:rPr>
        <w:t>these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goals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support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SDGs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8,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9,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11,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16.</w:t>
      </w:r>
      <w:r w:rsidR="000E2DE9">
        <w:rPr>
          <w:rFonts w:ascii="Arial" w:hAnsi="Arial"/>
          <w:lang w:val="en-GB"/>
        </w:rPr>
        <w:t xml:space="preserve"> </w:t>
      </w:r>
      <w:r w:rsidR="00DD6815">
        <w:rPr>
          <w:rFonts w:ascii="Arial" w:hAnsi="Arial"/>
          <w:lang w:val="en-GB"/>
        </w:rPr>
        <w:t>W</w:t>
      </w:r>
      <w:r w:rsidRPr="00904CDF">
        <w:rPr>
          <w:rFonts w:ascii="Arial" w:hAnsi="Arial"/>
          <w:lang w:val="en-GB"/>
        </w:rPr>
        <w:t>orld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literature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identif</w:t>
      </w:r>
      <w:r w:rsidR="00DD6815">
        <w:rPr>
          <w:rFonts w:ascii="Arial" w:hAnsi="Arial"/>
          <w:lang w:val="en-GB"/>
        </w:rPr>
        <w:t>ies</w:t>
      </w:r>
      <w:r w:rsidRPr="00904CDF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define</w:t>
      </w:r>
      <w:r w:rsidR="00DD6815">
        <w:rPr>
          <w:rFonts w:ascii="Arial" w:hAnsi="Arial"/>
          <w:lang w:val="en-GB"/>
        </w:rPr>
        <w:t>s</w:t>
      </w:r>
      <w:r w:rsidRPr="00904CDF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measure</w:t>
      </w:r>
      <w:r w:rsidR="00DD6815">
        <w:rPr>
          <w:rFonts w:ascii="Arial" w:hAnsi="Arial"/>
          <w:lang w:val="en-GB"/>
        </w:rPr>
        <w:t>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</w:t>
      </w:r>
      <w:r w:rsidR="00B70287" w:rsidRPr="00904CDF">
        <w:rPr>
          <w:rFonts w:ascii="Arial" w:hAnsi="Arial"/>
          <w:lang w:val="en-GB"/>
        </w:rPr>
        <w:t>nforcement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elements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critical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development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(Ozili,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2023)</w:t>
      </w:r>
      <w:r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International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comparative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scholarship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suggests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institutional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reforms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policy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levers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improve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timeliness,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certainty,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predictability,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enabling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more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productive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lower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transaction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costs.</w:t>
      </w:r>
      <w:r w:rsidR="000E2DE9">
        <w:rPr>
          <w:rFonts w:ascii="Arial" w:hAnsi="Arial"/>
          <w:lang w:val="en-GB"/>
        </w:rPr>
        <w:t xml:space="preserve"> </w:t>
      </w:r>
    </w:p>
    <w:p w14:paraId="4FF1C97B" w14:textId="78BDE381" w:rsidR="003A0B60" w:rsidRPr="00904CDF" w:rsidRDefault="009E39C1" w:rsidP="00AF57A1">
      <w:pPr>
        <w:spacing w:before="240" w:after="240" w:line="240" w:lineRule="auto"/>
        <w:ind w:firstLine="357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thriving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business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ecosystem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requires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mutual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trust,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plays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critical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role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promoting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reliance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formal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Unreliable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increases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risks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associated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breach,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thereby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encouraging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contractual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parties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resort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informal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modes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business,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which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usually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less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efficient.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two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links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explain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why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promoting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reliable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critical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element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high-quality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infrastructure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more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broadly,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ensuring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effective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operation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PPPs,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energy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systems,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transport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networks.</w:t>
      </w:r>
    </w:p>
    <w:p w14:paraId="09CB632E" w14:textId="1231BA22" w:rsidR="003A0B60" w:rsidRPr="00AF57A1" w:rsidRDefault="009E39C1" w:rsidP="00AF57A1">
      <w:pPr>
        <w:pStyle w:val="Heading3"/>
        <w:spacing w:before="240" w:after="120" w:line="240" w:lineRule="auto"/>
        <w:jc w:val="both"/>
        <w:rPr>
          <w:rFonts w:ascii="Arial" w:hAnsi="Arial"/>
          <w:color w:val="auto"/>
          <w:lang w:val="en-GB"/>
        </w:rPr>
      </w:pPr>
      <w:r w:rsidRPr="00AF57A1">
        <w:rPr>
          <w:rFonts w:ascii="Arial" w:hAnsi="Arial"/>
          <w:color w:val="auto"/>
          <w:lang w:val="en-GB"/>
        </w:rPr>
        <w:t>Judicial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Reforms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and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Timeliness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of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Remedies</w:t>
      </w:r>
    </w:p>
    <w:p w14:paraId="5AA899FA" w14:textId="629AC96E" w:rsidR="003A0B60" w:rsidRPr="00904CDF" w:rsidRDefault="009E39C1" w:rsidP="00AF57A1">
      <w:pPr>
        <w:spacing w:before="12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Judicial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timeliness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essential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enforceability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law-based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Performance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targets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case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resolution,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case-management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systems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alleviate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bottlenecks,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capacity-building</w:t>
      </w:r>
      <w:r w:rsidR="000E2DE9">
        <w:rPr>
          <w:rFonts w:ascii="Arial" w:hAnsi="Arial"/>
          <w:lang w:val="en-GB"/>
        </w:rPr>
        <w:t xml:space="preserve"> </w:t>
      </w:r>
      <w:r w:rsidR="0063089D">
        <w:rPr>
          <w:rFonts w:ascii="Arial" w:hAnsi="Arial"/>
          <w:lang w:val="en-GB"/>
        </w:rPr>
        <w:t>programme</w:t>
      </w:r>
      <w:r w:rsidRPr="00904CDF">
        <w:rPr>
          <w:rFonts w:ascii="Arial" w:hAnsi="Arial"/>
          <w:lang w:val="en-GB"/>
        </w:rPr>
        <w:t>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needed.</w:t>
      </w:r>
    </w:p>
    <w:p w14:paraId="1127E37D" w14:textId="5C5568AB" w:rsidR="003A0B60" w:rsidRPr="00904CDF" w:rsidRDefault="009E39C1" w:rsidP="00AF57A1">
      <w:pPr>
        <w:spacing w:before="240" w:after="240" w:line="240" w:lineRule="auto"/>
        <w:ind w:firstLine="357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Judicial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speed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critical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effective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law-based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Various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mechanisms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may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influence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this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aspect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dispute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resolution,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two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important</w:t>
      </w:r>
      <w:r w:rsidR="000E2DE9">
        <w:rPr>
          <w:rFonts w:ascii="Arial" w:hAnsi="Arial"/>
          <w:lang w:val="en-GB"/>
        </w:rPr>
        <w:t xml:space="preserve"> </w:t>
      </w:r>
      <w:r w:rsidR="00DD6815">
        <w:rPr>
          <w:rFonts w:ascii="Arial" w:hAnsi="Arial"/>
          <w:lang w:val="en-GB"/>
        </w:rPr>
        <w:t>mechanisms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being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case-management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systems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alleviate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bottlenecks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passing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down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judicial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capacity-building</w:t>
      </w:r>
      <w:r w:rsidR="000E2DE9">
        <w:rPr>
          <w:rFonts w:ascii="Arial" w:hAnsi="Arial"/>
          <w:lang w:val="en-GB"/>
        </w:rPr>
        <w:t xml:space="preserve"> </w:t>
      </w:r>
      <w:r w:rsidR="0063089D">
        <w:rPr>
          <w:rFonts w:ascii="Arial" w:hAnsi="Arial"/>
          <w:lang w:val="en-GB"/>
        </w:rPr>
        <w:t>programme</w:t>
      </w:r>
      <w:r w:rsidRPr="00904CDF">
        <w:rPr>
          <w:rFonts w:ascii="Arial" w:hAnsi="Arial"/>
          <w:lang w:val="en-GB"/>
        </w:rPr>
        <w:t>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speedy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resolution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disputes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through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court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system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directly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benefits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afflicted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parties,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warrants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examination.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Courts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regularly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publish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cycle-time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indicators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how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fast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matters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progress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through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judicial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system.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While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numbers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</w:t>
      </w:r>
      <w:r w:rsidR="00B70287" w:rsidRPr="00904CDF">
        <w:rPr>
          <w:rFonts w:ascii="Arial" w:hAnsi="Arial"/>
          <w:lang w:val="en-GB"/>
        </w:rPr>
        <w:t>ay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vary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widely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depending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starting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points,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establish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tangible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benchmarks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judicial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speed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comparative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assessments.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Judicial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governance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may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also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highlight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hot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spots,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monitor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changes,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recommend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solutions.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Beyond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judicial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loop,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smooth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civil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processes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instruments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should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guide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external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case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management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parties</w:t>
      </w:r>
      <w:r w:rsidR="00B70287" w:rsidRPr="00904CDF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attention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arbitration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procedures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methods.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Avoiding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delays,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impeding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judicial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lastRenderedPageBreak/>
        <w:t>mediation,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preparing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terrain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conciliation</w:t>
      </w:r>
      <w:r w:rsidRPr="00904CDF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leveraging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momentum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from</w:t>
      </w:r>
      <w:r w:rsidR="000E2DE9">
        <w:rPr>
          <w:rFonts w:ascii="Arial" w:hAnsi="Arial"/>
          <w:lang w:val="en-GB"/>
        </w:rPr>
        <w:t xml:space="preserve"> </w:t>
      </w:r>
      <w:r w:rsidR="004B20A7" w:rsidRPr="00904CDF">
        <w:rPr>
          <w:rFonts w:ascii="Arial" w:hAnsi="Arial"/>
          <w:lang w:val="en-GB"/>
        </w:rPr>
        <w:t>Alternative</w:t>
      </w:r>
      <w:r w:rsidR="000E2DE9">
        <w:rPr>
          <w:rFonts w:ascii="Arial" w:hAnsi="Arial"/>
          <w:lang w:val="en-GB"/>
        </w:rPr>
        <w:t xml:space="preserve"> </w:t>
      </w:r>
      <w:r w:rsidR="004B20A7" w:rsidRPr="00904CDF">
        <w:rPr>
          <w:rFonts w:ascii="Arial" w:hAnsi="Arial"/>
          <w:lang w:val="en-GB"/>
        </w:rPr>
        <w:t>Dispute</w:t>
      </w:r>
      <w:r w:rsidR="000E2DE9">
        <w:rPr>
          <w:rFonts w:ascii="Arial" w:hAnsi="Arial"/>
          <w:lang w:val="en-GB"/>
        </w:rPr>
        <w:t xml:space="preserve"> </w:t>
      </w:r>
      <w:r w:rsidR="004B20A7" w:rsidRPr="00904CDF">
        <w:rPr>
          <w:rFonts w:ascii="Arial" w:hAnsi="Arial"/>
          <w:lang w:val="en-GB"/>
        </w:rPr>
        <w:t>Resolution</w:t>
      </w:r>
      <w:r w:rsidR="000E2DE9">
        <w:rPr>
          <w:rFonts w:ascii="Arial" w:hAnsi="Arial"/>
          <w:lang w:val="en-GB"/>
        </w:rPr>
        <w:t xml:space="preserve"> </w:t>
      </w:r>
      <w:r w:rsidR="004B20A7">
        <w:rPr>
          <w:rFonts w:ascii="Arial" w:hAnsi="Arial"/>
          <w:lang w:val="en-GB"/>
        </w:rPr>
        <w:t>(</w:t>
      </w:r>
      <w:r w:rsidRPr="00904CDF">
        <w:rPr>
          <w:rFonts w:ascii="Arial" w:hAnsi="Arial"/>
          <w:lang w:val="en-GB"/>
        </w:rPr>
        <w:t>ADR</w:t>
      </w:r>
      <w:r w:rsidR="004B20A7">
        <w:rPr>
          <w:rFonts w:ascii="Arial" w:hAnsi="Arial"/>
          <w:lang w:val="en-GB"/>
        </w:rPr>
        <w:t>)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remain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premature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considerations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many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jurisdictions,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even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such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system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design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attributes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becoming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clear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at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least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more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developed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realms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and,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by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extension,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B70287" w:rsidRPr="00904CDF">
        <w:rPr>
          <w:rFonts w:ascii="Arial" w:hAnsi="Arial"/>
          <w:lang w:val="en-GB"/>
        </w:rPr>
        <w:t>compartmentalis</w:t>
      </w:r>
      <w:r w:rsidRPr="00904CDF">
        <w:rPr>
          <w:rFonts w:ascii="Arial" w:hAnsi="Arial"/>
          <w:lang w:val="en-GB"/>
        </w:rPr>
        <w:t>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hybrid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system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dedicated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jurisdiction-specific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regional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economic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communities.</w:t>
      </w:r>
    </w:p>
    <w:p w14:paraId="424EF9D1" w14:textId="2A4A77B6" w:rsidR="003A0B60" w:rsidRPr="00AF57A1" w:rsidRDefault="009E39C1" w:rsidP="00AF57A1">
      <w:pPr>
        <w:pStyle w:val="Heading3"/>
        <w:spacing w:before="240" w:after="120" w:line="240" w:lineRule="auto"/>
        <w:jc w:val="both"/>
        <w:rPr>
          <w:rFonts w:ascii="Arial" w:hAnsi="Arial"/>
          <w:color w:val="auto"/>
          <w:lang w:val="en-GB"/>
        </w:rPr>
      </w:pPr>
      <w:r w:rsidRPr="00AF57A1">
        <w:rPr>
          <w:rFonts w:ascii="Arial" w:hAnsi="Arial"/>
          <w:color w:val="auto"/>
          <w:lang w:val="en-GB"/>
        </w:rPr>
        <w:t>Benchmarking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and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Transparency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in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Contract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Resolution</w:t>
      </w:r>
    </w:p>
    <w:p w14:paraId="6AD2A4BC" w14:textId="761663A7" w:rsidR="003A0B60" w:rsidRPr="00904CDF" w:rsidRDefault="009E39C1" w:rsidP="00AF57A1">
      <w:pPr>
        <w:spacing w:before="12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Timely,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transparent,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clear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resolution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contractual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disputes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crucial</w:t>
      </w:r>
      <w:r w:rsidR="000E2DE9">
        <w:rPr>
          <w:rFonts w:ascii="Arial" w:hAnsi="Arial"/>
          <w:lang w:val="en-GB"/>
        </w:rPr>
        <w:t xml:space="preserve"> </w:t>
      </w:r>
      <w:r w:rsidR="004B20A7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reducing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uncertainty,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encouraging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investment,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stimulating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innovation,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promoting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ensure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disputes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resolved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transparently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efficiently,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governments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should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adopt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public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dashboards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overview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resolution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process,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state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pending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disputes,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time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cost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estimates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resolution,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expected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effectiveness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available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remedies.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This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information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should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aggregated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made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easily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accessible.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visuali</w:t>
      </w:r>
      <w:r w:rsidR="00C1433A" w:rsidRPr="00904CDF">
        <w:rPr>
          <w:rFonts w:ascii="Arial" w:hAnsi="Arial"/>
          <w:lang w:val="en-GB"/>
        </w:rPr>
        <w:t>sed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benchmarking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peer-comparison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aspects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data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encourage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further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scrutiny,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analysis,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debate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within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country,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while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also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facilitating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international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learning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sharing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experiences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enforcement</w:t>
      </w:r>
      <w:r w:rsidR="000E2DE9">
        <w:rPr>
          <w:rFonts w:ascii="Arial" w:hAnsi="Arial"/>
          <w:lang w:val="en-GB"/>
        </w:rPr>
        <w:t xml:space="preserve"> </w:t>
      </w:r>
      <w:r w:rsidR="00C1433A" w:rsidRPr="00904CDF">
        <w:rPr>
          <w:rFonts w:ascii="Arial" w:hAnsi="Arial"/>
          <w:lang w:val="en-GB"/>
        </w:rPr>
        <w:t>issues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(Deb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Raj,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2023)</w:t>
      </w:r>
      <w:r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relevance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transparency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means</w:t>
      </w:r>
      <w:r w:rsidR="000E2DE9">
        <w:rPr>
          <w:rFonts w:ascii="Arial" w:hAnsi="Arial"/>
          <w:lang w:val="en-GB"/>
        </w:rPr>
        <w:t xml:space="preserve"> </w:t>
      </w:r>
      <w:r w:rsidR="004B20A7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uphold</w:t>
      </w:r>
      <w:r w:rsidR="004B20A7">
        <w:rPr>
          <w:rFonts w:ascii="Arial" w:hAnsi="Arial"/>
          <w:lang w:val="en-GB"/>
        </w:rPr>
        <w:t>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rule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improv</w:t>
      </w:r>
      <w:r w:rsidR="004B20A7">
        <w:rPr>
          <w:rFonts w:ascii="Arial" w:hAnsi="Arial"/>
          <w:lang w:val="en-GB"/>
        </w:rPr>
        <w:t>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underlined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establishment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Multilateral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Banks</w:t>
      </w:r>
      <w:r w:rsidR="0063089D">
        <w:rPr>
          <w:rFonts w:ascii="Arial" w:hAnsi="Arial"/>
          <w:lang w:val="en-GB"/>
        </w:rPr>
        <w:t>’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Anti-Corruption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Task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2013.</w:t>
      </w:r>
    </w:p>
    <w:p w14:paraId="2E06AA06" w14:textId="17E4A467" w:rsidR="003A0B60" w:rsidRPr="00AF57A1" w:rsidRDefault="009E39C1" w:rsidP="00AF57A1">
      <w:pPr>
        <w:pStyle w:val="Heading3"/>
        <w:spacing w:before="240" w:after="120" w:line="240" w:lineRule="auto"/>
        <w:jc w:val="both"/>
        <w:rPr>
          <w:rFonts w:ascii="Arial" w:hAnsi="Arial"/>
          <w:color w:val="auto"/>
          <w:lang w:val="en-GB"/>
        </w:rPr>
      </w:pPr>
      <w:r w:rsidRPr="00AF57A1">
        <w:rPr>
          <w:rFonts w:ascii="Arial" w:hAnsi="Arial"/>
          <w:color w:val="auto"/>
          <w:lang w:val="en-GB"/>
        </w:rPr>
        <w:t>Alternative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Dispute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Resolution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and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Access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to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Remedies</w:t>
      </w:r>
    </w:p>
    <w:p w14:paraId="50B5670B" w14:textId="24F94E06" w:rsidR="003A0B60" w:rsidRPr="00904CDF" w:rsidRDefault="009E39C1" w:rsidP="00AF57A1">
      <w:pPr>
        <w:spacing w:before="12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Access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fair,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impartial,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efficient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dispute</w:t>
      </w:r>
      <w:r w:rsidR="00E14AED" w:rsidRPr="00904CDF">
        <w:rPr>
          <w:rFonts w:ascii="Arial" w:hAnsi="Arial"/>
          <w:lang w:val="en-GB"/>
        </w:rPr>
        <w:t>-resolution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mechanisms,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such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ADR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methods</w:t>
      </w:r>
      <w:r w:rsidR="000E2DE9">
        <w:rPr>
          <w:rFonts w:ascii="Arial" w:hAnsi="Arial"/>
          <w:lang w:val="en-GB"/>
        </w:rPr>
        <w:t xml:space="preserve"> </w:t>
      </w:r>
      <w:r w:rsidR="004B20A7">
        <w:rPr>
          <w:rFonts w:ascii="Arial" w:hAnsi="Arial"/>
          <w:lang w:val="en-GB"/>
        </w:rPr>
        <w:t>(e.g.,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mediation,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neutral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evaluation,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arbitration,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expert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determination</w:t>
      </w:r>
      <w:r w:rsidR="004B20A7">
        <w:rPr>
          <w:rFonts w:ascii="Arial" w:hAnsi="Arial"/>
          <w:lang w:val="en-GB"/>
        </w:rPr>
        <w:t>)</w:t>
      </w:r>
      <w:r w:rsidR="00E14AED" w:rsidRPr="00904CDF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is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crucial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securing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remedies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settlements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(Zhang,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2024)</w:t>
      </w:r>
      <w:r w:rsidR="00AD1239" w:rsidRPr="00904CDF">
        <w:rPr>
          <w:rFonts w:ascii="Arial" w:hAnsi="Arial"/>
          <w:color w:val="000000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Public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sector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often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include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explicit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dispute-resolution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mechanisms</w:t>
      </w:r>
      <w:r w:rsidR="005236BC"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contrast,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infrastructure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PPP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routinely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include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stipulations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management,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monitoring,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governance</w:t>
      </w:r>
      <w:r w:rsidRPr="00904CDF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specifying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modality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framework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engagement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variety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stakeholders.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Access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institutional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ADR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minimal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cost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enhances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effective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engagement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consideration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dispute-resolution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alternatives.</w:t>
      </w:r>
    </w:p>
    <w:p w14:paraId="5A3EFA0B" w14:textId="54F085E8" w:rsidR="003A0B60" w:rsidRPr="00904CDF" w:rsidRDefault="009E39C1" w:rsidP="00AF57A1">
      <w:pPr>
        <w:spacing w:before="240" w:after="240" w:line="240" w:lineRule="auto"/>
        <w:ind w:firstLine="357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Adaptive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measures,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such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E14AED" w:rsidRPr="00904CDF">
        <w:rPr>
          <w:rFonts w:ascii="Arial" w:hAnsi="Arial"/>
          <w:lang w:val="en-GB"/>
        </w:rPr>
        <w:t>ssessments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adverse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weather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4B20A7">
        <w:rPr>
          <w:rFonts w:ascii="Arial" w:hAnsi="Arial"/>
          <w:lang w:val="en-GB"/>
        </w:rPr>
        <w:t>rising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sea-level</w:t>
      </w:r>
      <w:r w:rsidR="004B20A7">
        <w:rPr>
          <w:rFonts w:ascii="Arial" w:hAnsi="Arial"/>
          <w:lang w:val="en-GB"/>
        </w:rPr>
        <w:t>s</w:t>
      </w:r>
      <w:r w:rsidR="00E14AED" w:rsidRPr="00904CDF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climate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risk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vulnerability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analyses,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monitoring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extreme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weather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events,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service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redundancy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enhancements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other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elements,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frequently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included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energy-sector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contracts,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thereby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enhancing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credible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commitment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deliver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reliable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energy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under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contractually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defined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conditions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(Le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Coq</w:t>
      </w:r>
      <w:r w:rsidR="000E2DE9">
        <w:rPr>
          <w:rFonts w:ascii="Arial" w:hAnsi="Arial"/>
          <w:lang w:val="en-GB"/>
        </w:rPr>
        <w:t xml:space="preserve"> </w:t>
      </w:r>
      <w:r w:rsidR="00562B89" w:rsidRPr="0038778D">
        <w:rPr>
          <w:rFonts w:ascii="Arial" w:hAnsi="Arial"/>
          <w:i/>
          <w:lang w:val="en-GB"/>
        </w:rPr>
        <w:t>et</w:t>
      </w:r>
      <w:r w:rsidR="000E2DE9">
        <w:rPr>
          <w:rFonts w:ascii="Arial" w:hAnsi="Arial"/>
          <w:i/>
          <w:lang w:val="en-GB"/>
        </w:rPr>
        <w:t xml:space="preserve"> </w:t>
      </w:r>
      <w:r w:rsidR="00562B89" w:rsidRPr="0038778D">
        <w:rPr>
          <w:rFonts w:ascii="Arial" w:hAnsi="Arial"/>
          <w:i/>
          <w:lang w:val="en-GB"/>
        </w:rPr>
        <w:t>al</w:t>
      </w:r>
      <w:r w:rsidR="00562B89">
        <w:rPr>
          <w:rFonts w:ascii="Arial" w:hAnsi="Arial"/>
          <w:lang w:val="en-GB"/>
        </w:rPr>
        <w:t>.,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2025)</w:t>
      </w:r>
      <w:r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PPP</w:t>
      </w:r>
      <w:r w:rsidR="00E14AED" w:rsidRPr="00904CDF">
        <w:rPr>
          <w:rFonts w:ascii="Arial" w:hAnsi="Arial"/>
          <w:lang w:val="en-GB"/>
        </w:rPr>
        <w:t>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can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facilitate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delivery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public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infrastructure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services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effectively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efficiently,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creating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inclusive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economic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growth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poverty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reduction.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Leveraging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private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sector</w:t>
      </w:r>
      <w:r w:rsidR="0063089D">
        <w:rPr>
          <w:rFonts w:ascii="Arial" w:hAnsi="Arial"/>
          <w:lang w:val="en-GB"/>
        </w:rPr>
        <w:t>’</w:t>
      </w:r>
      <w:r w:rsidRPr="00904CDF">
        <w:rPr>
          <w:rFonts w:ascii="Arial" w:hAnsi="Arial"/>
          <w:lang w:val="en-GB"/>
        </w:rPr>
        <w:t>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efficiency,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flexibility,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innovation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can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improve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public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service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delivery,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thereby</w:t>
      </w:r>
      <w:r w:rsidR="000E2DE9">
        <w:rPr>
          <w:rFonts w:ascii="Arial" w:hAnsi="Arial"/>
          <w:lang w:val="en-GB"/>
        </w:rPr>
        <w:t xml:space="preserve"> </w:t>
      </w:r>
      <w:r w:rsidR="00E14AED" w:rsidRPr="00904CDF">
        <w:rPr>
          <w:rFonts w:ascii="Arial" w:hAnsi="Arial"/>
          <w:lang w:val="en-GB"/>
        </w:rPr>
        <w:t>creating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attractive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investment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opportunities.</w:t>
      </w:r>
      <w:r w:rsidR="000E2DE9">
        <w:rPr>
          <w:rFonts w:ascii="Arial" w:hAnsi="Arial"/>
          <w:lang w:val="en-GB"/>
        </w:rPr>
        <w:t xml:space="preserve"> </w:t>
      </w:r>
    </w:p>
    <w:p w14:paraId="3D0B6B29" w14:textId="127779A0" w:rsidR="003A0B60" w:rsidRPr="00AF57A1" w:rsidRDefault="00E14AED" w:rsidP="00AF57A1">
      <w:pPr>
        <w:pStyle w:val="Heading3"/>
        <w:spacing w:before="240" w:after="120" w:line="240" w:lineRule="auto"/>
        <w:jc w:val="both"/>
        <w:rPr>
          <w:rFonts w:ascii="Arial" w:hAnsi="Arial"/>
          <w:color w:val="auto"/>
          <w:lang w:val="en-GB"/>
        </w:rPr>
      </w:pPr>
      <w:r w:rsidRPr="00AF57A1">
        <w:rPr>
          <w:rFonts w:ascii="Arial" w:hAnsi="Arial"/>
          <w:color w:val="auto"/>
          <w:lang w:val="en-GB"/>
        </w:rPr>
        <w:t>Digitalisation</w:t>
      </w:r>
      <w:r w:rsidR="009E39C1" w:rsidRPr="00AF57A1">
        <w:rPr>
          <w:rFonts w:ascii="Arial" w:hAnsi="Arial"/>
          <w:color w:val="auto"/>
          <w:lang w:val="en-GB"/>
        </w:rPr>
        <w:t>,</w:t>
      </w:r>
      <w:r w:rsidR="000E2DE9">
        <w:rPr>
          <w:rFonts w:ascii="Arial" w:hAnsi="Arial"/>
          <w:color w:val="auto"/>
          <w:lang w:val="en-GB"/>
        </w:rPr>
        <w:t xml:space="preserve"> </w:t>
      </w:r>
      <w:r w:rsidR="009E39C1" w:rsidRPr="00AF57A1">
        <w:rPr>
          <w:rFonts w:ascii="Arial" w:hAnsi="Arial"/>
          <w:color w:val="auto"/>
          <w:lang w:val="en-GB"/>
        </w:rPr>
        <w:t>Smart</w:t>
      </w:r>
      <w:r w:rsidR="000E2DE9">
        <w:rPr>
          <w:rFonts w:ascii="Arial" w:hAnsi="Arial"/>
          <w:color w:val="auto"/>
          <w:lang w:val="en-GB"/>
        </w:rPr>
        <w:t xml:space="preserve"> </w:t>
      </w:r>
      <w:r w:rsidR="009E39C1" w:rsidRPr="00AF57A1">
        <w:rPr>
          <w:rFonts w:ascii="Arial" w:hAnsi="Arial"/>
          <w:color w:val="auto"/>
          <w:lang w:val="en-GB"/>
        </w:rPr>
        <w:t>Contracts,</w:t>
      </w:r>
      <w:r w:rsidR="000E2DE9">
        <w:rPr>
          <w:rFonts w:ascii="Arial" w:hAnsi="Arial"/>
          <w:color w:val="auto"/>
          <w:lang w:val="en-GB"/>
        </w:rPr>
        <w:t xml:space="preserve"> </w:t>
      </w:r>
      <w:r w:rsidR="009E39C1" w:rsidRPr="00AF57A1">
        <w:rPr>
          <w:rFonts w:ascii="Arial" w:hAnsi="Arial"/>
          <w:color w:val="auto"/>
          <w:lang w:val="en-GB"/>
        </w:rPr>
        <w:t>and</w:t>
      </w:r>
      <w:r w:rsidR="000E2DE9">
        <w:rPr>
          <w:rFonts w:ascii="Arial" w:hAnsi="Arial"/>
          <w:color w:val="auto"/>
          <w:lang w:val="en-GB"/>
        </w:rPr>
        <w:t xml:space="preserve"> </w:t>
      </w:r>
      <w:r w:rsidR="009E39C1" w:rsidRPr="00AF57A1">
        <w:rPr>
          <w:rFonts w:ascii="Arial" w:hAnsi="Arial"/>
          <w:color w:val="auto"/>
          <w:lang w:val="en-GB"/>
        </w:rPr>
        <w:t>Blockchain</w:t>
      </w:r>
      <w:r w:rsidR="000E2DE9">
        <w:rPr>
          <w:rFonts w:ascii="Arial" w:hAnsi="Arial"/>
          <w:color w:val="auto"/>
          <w:lang w:val="en-GB"/>
        </w:rPr>
        <w:t xml:space="preserve"> </w:t>
      </w:r>
      <w:r w:rsidR="009E39C1" w:rsidRPr="00AF57A1">
        <w:rPr>
          <w:rFonts w:ascii="Arial" w:hAnsi="Arial"/>
          <w:color w:val="auto"/>
          <w:lang w:val="en-GB"/>
        </w:rPr>
        <w:t>Implications</w:t>
      </w:r>
    </w:p>
    <w:p w14:paraId="7A1AE4B3" w14:textId="6630690E" w:rsidR="003A0B60" w:rsidRPr="00904CDF" w:rsidRDefault="009E39C1" w:rsidP="00AF57A1">
      <w:pPr>
        <w:spacing w:before="12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Technological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advances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such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artificial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intelligence</w:t>
      </w:r>
      <w:r w:rsidR="000E2DE9">
        <w:rPr>
          <w:rFonts w:ascii="Arial" w:hAnsi="Arial"/>
          <w:lang w:val="en-GB"/>
        </w:rPr>
        <w:t xml:space="preserve"> </w:t>
      </w:r>
      <w:r w:rsidR="00E7053F">
        <w:rPr>
          <w:rFonts w:ascii="Arial" w:hAnsi="Arial"/>
          <w:lang w:val="en-GB"/>
        </w:rPr>
        <w:t>(AI)</w:t>
      </w:r>
      <w:r w:rsidRPr="00904CDF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digital</w:t>
      </w:r>
      <w:r w:rsidR="0063089D">
        <w:rPr>
          <w:rFonts w:ascii="Arial" w:hAnsi="Arial"/>
          <w:lang w:val="en-GB"/>
        </w:rPr>
        <w:t>is</w:t>
      </w:r>
      <w:r w:rsidRPr="00904CDF">
        <w:rPr>
          <w:rFonts w:ascii="Arial" w:hAnsi="Arial"/>
          <w:lang w:val="en-GB"/>
        </w:rPr>
        <w:t>ation,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automated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machine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learning,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big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data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analysis,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Internet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Things</w:t>
      </w:r>
      <w:r w:rsidR="000E2DE9">
        <w:rPr>
          <w:rFonts w:ascii="Arial" w:hAnsi="Arial"/>
          <w:lang w:val="en-GB"/>
        </w:rPr>
        <w:t xml:space="preserve"> </w:t>
      </w:r>
      <w:r w:rsidR="00E7053F">
        <w:rPr>
          <w:rFonts w:ascii="Arial" w:hAnsi="Arial"/>
          <w:lang w:val="en-GB"/>
        </w:rPr>
        <w:t>(IoT)</w:t>
      </w:r>
      <w:r w:rsidRPr="00904CDF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blockchain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raise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questions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about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aligning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regimes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regulations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SDGs.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New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technologies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generate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concerns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regarding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recognition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new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digital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shapes,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formats,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forms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(Heidari</w:t>
      </w:r>
      <w:r w:rsidR="000E2DE9">
        <w:rPr>
          <w:rFonts w:ascii="Arial" w:hAnsi="Arial"/>
          <w:lang w:val="en-GB"/>
        </w:rPr>
        <w:t xml:space="preserve"> </w:t>
      </w:r>
      <w:r w:rsidR="00562B89" w:rsidRPr="0038778D">
        <w:rPr>
          <w:rFonts w:ascii="Arial" w:hAnsi="Arial"/>
          <w:i/>
          <w:lang w:val="en-GB"/>
        </w:rPr>
        <w:t>et</w:t>
      </w:r>
      <w:r w:rsidR="000E2DE9">
        <w:rPr>
          <w:rFonts w:ascii="Arial" w:hAnsi="Arial"/>
          <w:i/>
          <w:lang w:val="en-GB"/>
        </w:rPr>
        <w:t xml:space="preserve"> </w:t>
      </w:r>
      <w:r w:rsidR="00562B89" w:rsidRPr="0038778D">
        <w:rPr>
          <w:rFonts w:ascii="Arial" w:hAnsi="Arial"/>
          <w:i/>
          <w:lang w:val="en-GB"/>
        </w:rPr>
        <w:t>al</w:t>
      </w:r>
      <w:r w:rsidR="00562B89">
        <w:rPr>
          <w:rFonts w:ascii="Arial" w:hAnsi="Arial"/>
          <w:lang w:val="en-GB"/>
        </w:rPr>
        <w:t>.,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2024)</w:t>
      </w:r>
      <w:r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Technological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offer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new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opportunities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while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creating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uncertainty</w:t>
      </w:r>
      <w:r w:rsidR="000E2DE9">
        <w:rPr>
          <w:rFonts w:ascii="Arial" w:hAnsi="Arial"/>
          <w:lang w:val="en-GB"/>
        </w:rPr>
        <w:t xml:space="preserve"> </w:t>
      </w:r>
      <w:r w:rsidR="00CE2E93" w:rsidRPr="00904CDF">
        <w:rPr>
          <w:rFonts w:ascii="Arial" w:hAnsi="Arial"/>
          <w:lang w:val="en-GB"/>
        </w:rPr>
        <w:t>about</w:t>
      </w:r>
      <w:r w:rsidR="000E2DE9">
        <w:rPr>
          <w:rFonts w:ascii="Arial" w:hAnsi="Arial"/>
          <w:lang w:val="en-GB"/>
        </w:rPr>
        <w:t xml:space="preserve"> </w:t>
      </w:r>
      <w:r w:rsidR="00CE2E93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CE2E93"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="00CE2E93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CE2E93" w:rsidRPr="00904CDF">
        <w:rPr>
          <w:rFonts w:ascii="Arial" w:hAnsi="Arial"/>
          <w:lang w:val="en-GB"/>
        </w:rPr>
        <w:t>institutional</w:t>
      </w:r>
      <w:r w:rsidR="000E2DE9">
        <w:rPr>
          <w:rFonts w:ascii="Arial" w:hAnsi="Arial"/>
          <w:lang w:val="en-GB"/>
        </w:rPr>
        <w:t xml:space="preserve"> </w:t>
      </w:r>
      <w:r w:rsidR="00CE2E93" w:rsidRPr="00904CDF">
        <w:rPr>
          <w:rFonts w:ascii="Arial" w:hAnsi="Arial"/>
          <w:lang w:val="en-GB"/>
        </w:rPr>
        <w:t>frameworks</w:t>
      </w:r>
      <w:r w:rsidR="000E2DE9">
        <w:rPr>
          <w:rFonts w:ascii="Arial" w:hAnsi="Arial"/>
          <w:lang w:val="en-GB"/>
        </w:rPr>
        <w:t xml:space="preserve"> </w:t>
      </w:r>
      <w:r w:rsidR="00CE2E93" w:rsidRPr="00904CDF">
        <w:rPr>
          <w:rFonts w:ascii="Arial" w:hAnsi="Arial"/>
          <w:lang w:val="en-GB"/>
        </w:rPr>
        <w:t>required</w:t>
      </w:r>
      <w:r w:rsidR="000E2DE9">
        <w:rPr>
          <w:rFonts w:ascii="Arial" w:hAnsi="Arial"/>
          <w:lang w:val="en-GB"/>
        </w:rPr>
        <w:t xml:space="preserve"> </w:t>
      </w:r>
      <w:r w:rsidR="00CE2E93"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="00CE2E93" w:rsidRPr="00904CDF">
        <w:rPr>
          <w:rFonts w:ascii="Arial" w:hAnsi="Arial"/>
          <w:lang w:val="en-GB"/>
        </w:rPr>
        <w:t>develop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digital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applications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precise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information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(Ramos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Mannan,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2022)</w:t>
      </w:r>
      <w:r w:rsidRPr="00904CDF">
        <w:rPr>
          <w:rFonts w:ascii="Arial" w:hAnsi="Arial"/>
          <w:lang w:val="en-GB"/>
        </w:rPr>
        <w:t>.</w:t>
      </w:r>
    </w:p>
    <w:p w14:paraId="74C49AF0" w14:textId="1AFFF76B" w:rsidR="003A0B60" w:rsidRPr="00904CDF" w:rsidRDefault="009E39C1" w:rsidP="00AF57A1">
      <w:pPr>
        <w:spacing w:before="240" w:after="240" w:line="240" w:lineRule="auto"/>
        <w:ind w:firstLine="357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Smart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defined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promises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specified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digital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form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establish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contractual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transaction.</w:t>
      </w:r>
      <w:r w:rsidR="000E2DE9">
        <w:rPr>
          <w:rFonts w:ascii="Arial" w:hAnsi="Arial"/>
          <w:lang w:val="en-GB"/>
        </w:rPr>
        <w:t xml:space="preserve"> </w:t>
      </w:r>
      <w:r w:rsidR="00E7053F">
        <w:rPr>
          <w:rFonts w:ascii="Arial" w:hAnsi="Arial"/>
          <w:lang w:val="en-GB"/>
        </w:rPr>
        <w:t>Correct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smart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compiled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into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code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submitted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blockchain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network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by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smart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developer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ensure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high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execution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rates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reduce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latency.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Implementing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through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smart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might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significantly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enhance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operation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lastRenderedPageBreak/>
        <w:t>of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framework</w:t>
      </w:r>
      <w:r w:rsidR="00E7053F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="00E7053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E7053F" w:rsidRPr="00904CDF">
        <w:rPr>
          <w:rFonts w:ascii="Arial" w:hAnsi="Arial"/>
          <w:lang w:val="en-GB"/>
        </w:rPr>
        <w:t>such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can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play</w:t>
      </w:r>
      <w:r w:rsidR="000E2DE9">
        <w:rPr>
          <w:rFonts w:ascii="Arial" w:hAnsi="Arial"/>
          <w:lang w:val="en-GB"/>
        </w:rPr>
        <w:t xml:space="preserve"> </w:t>
      </w:r>
      <w:r w:rsidR="00E7053F">
        <w:rPr>
          <w:rFonts w:ascii="Arial" w:hAnsi="Arial"/>
          <w:lang w:val="en-GB"/>
        </w:rPr>
        <w:t>an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important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role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we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enter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digital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blockchain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era.</w:t>
      </w:r>
    </w:p>
    <w:p w14:paraId="3578E964" w14:textId="3C3B75EA" w:rsidR="003A0B60" w:rsidRPr="00AF57A1" w:rsidRDefault="00AF57A1" w:rsidP="00AF57A1">
      <w:pPr>
        <w:pStyle w:val="Heading2"/>
        <w:spacing w:before="240" w:after="240" w:line="240" w:lineRule="auto"/>
        <w:jc w:val="both"/>
        <w:rPr>
          <w:rFonts w:ascii="Arial" w:hAnsi="Arial"/>
          <w:color w:val="FF0000"/>
          <w:sz w:val="22"/>
          <w:lang w:val="en-GB"/>
        </w:rPr>
      </w:pPr>
      <w:r w:rsidRPr="00AF57A1">
        <w:rPr>
          <w:rFonts w:ascii="Arial" w:hAnsi="Arial"/>
          <w:color w:val="FF0000"/>
          <w:sz w:val="22"/>
          <w:lang w:val="en-GB"/>
        </w:rPr>
        <w:t>SECTORAL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IMPACTS: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INFRASTRUCTURE,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ENERGY,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AND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PPP</w:t>
      </w:r>
      <w:r w:rsidR="00E7053F">
        <w:rPr>
          <w:rFonts w:ascii="Arial" w:hAnsi="Arial"/>
          <w:color w:val="FF0000"/>
          <w:sz w:val="22"/>
          <w:lang w:val="en-GB"/>
        </w:rPr>
        <w:t>s</w:t>
      </w:r>
    </w:p>
    <w:p w14:paraId="7A9E7312" w14:textId="390A4D02" w:rsidR="003A0B60" w:rsidRPr="00904CDF" w:rsidRDefault="009E39C1" w:rsidP="00AF57A1">
      <w:pPr>
        <w:spacing w:before="24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Enforceable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pivotal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infrastructure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financing,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energy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projects,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PPPs.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Uncertainty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about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impact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sectoral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outcomes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complicates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design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legislation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institutions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aligned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SDG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Target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16.3.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Empirical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evidence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links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frameworks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="000D718E" w:rsidRPr="00904CDF">
        <w:rPr>
          <w:rFonts w:ascii="Arial" w:hAnsi="Arial"/>
          <w:lang w:val="en-GB"/>
        </w:rPr>
        <w:t>enforcement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sector-specific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outcomes,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helping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focus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reforms.</w:t>
      </w:r>
    </w:p>
    <w:p w14:paraId="2BB18043" w14:textId="332370CF" w:rsidR="003A0B60" w:rsidRPr="00904CDF" w:rsidRDefault="009E39C1" w:rsidP="00AF57A1">
      <w:pPr>
        <w:spacing w:before="240" w:after="240" w:line="240" w:lineRule="auto"/>
        <w:ind w:firstLine="357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Infrastructure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financing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hinges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expectations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regarding</w:t>
      </w:r>
      <w:r w:rsidR="000E2DE9">
        <w:rPr>
          <w:rFonts w:ascii="Arial" w:hAnsi="Arial"/>
          <w:lang w:val="en-GB"/>
        </w:rPr>
        <w:t xml:space="preserve"> </w:t>
      </w:r>
      <w:r w:rsidR="008120F3" w:rsidRPr="00904CDF">
        <w:rPr>
          <w:rFonts w:ascii="Arial" w:hAnsi="Arial"/>
          <w:lang w:val="en-GB"/>
        </w:rPr>
        <w:t>funding</w:t>
      </w:r>
      <w:r w:rsidR="000E2DE9">
        <w:rPr>
          <w:rFonts w:ascii="Arial" w:hAnsi="Arial"/>
          <w:lang w:val="en-GB"/>
        </w:rPr>
        <w:t xml:space="preserve"> </w:t>
      </w:r>
      <w:r w:rsidR="008120F3" w:rsidRPr="00904CDF">
        <w:rPr>
          <w:rFonts w:ascii="Arial" w:hAnsi="Arial"/>
          <w:lang w:val="en-GB"/>
        </w:rPr>
        <w:t>treatment</w:t>
      </w:r>
      <w:r w:rsidRPr="00904CDF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payment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guarantees,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dispute-resolution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arrangements.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facilitate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reliable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long-term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funding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clearly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defining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variables.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frameworks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strengthen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predictability,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clarity,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timeliness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therefore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essential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(Carvalho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Spataru,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2018)</w:t>
      </w:r>
      <w:r w:rsidRPr="00904CDF">
        <w:rPr>
          <w:rFonts w:ascii="Arial" w:hAnsi="Arial"/>
          <w:lang w:val="en-GB"/>
        </w:rPr>
        <w:t>.</w:t>
      </w:r>
    </w:p>
    <w:p w14:paraId="53925498" w14:textId="4B35169D" w:rsidR="003A0B60" w:rsidRPr="00904CDF" w:rsidRDefault="009E39C1" w:rsidP="00AF57A1">
      <w:pPr>
        <w:spacing w:before="240" w:after="240" w:line="240" w:lineRule="auto"/>
        <w:ind w:firstLine="357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energy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projects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depend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="008120F3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precise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allocation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contractual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risk.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typically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stipulate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tariffs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generated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power,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off-take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risk,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performance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bonds.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Well-defined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remedies,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speedy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resolution,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operational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performance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indicators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enhance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payment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security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enabling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prompt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remedy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when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obligations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unmet.</w:t>
      </w:r>
    </w:p>
    <w:p w14:paraId="2FC42549" w14:textId="0159D296" w:rsidR="003A0B60" w:rsidRPr="00AF57A1" w:rsidRDefault="009E39C1" w:rsidP="00AF57A1">
      <w:pPr>
        <w:pStyle w:val="Heading3"/>
        <w:spacing w:before="240" w:after="120" w:line="240" w:lineRule="auto"/>
        <w:jc w:val="both"/>
        <w:rPr>
          <w:rFonts w:ascii="Arial" w:hAnsi="Arial"/>
          <w:color w:val="auto"/>
          <w:lang w:val="en-GB"/>
        </w:rPr>
      </w:pPr>
      <w:r w:rsidRPr="00AF57A1">
        <w:rPr>
          <w:rFonts w:ascii="Arial" w:hAnsi="Arial"/>
          <w:color w:val="auto"/>
          <w:lang w:val="en-GB"/>
        </w:rPr>
        <w:t>Infrastructure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Financing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and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Enforcement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Certainty</w:t>
      </w:r>
    </w:p>
    <w:p w14:paraId="12D721BC" w14:textId="331EFDD4" w:rsidR="003A0B60" w:rsidRPr="00904CDF" w:rsidRDefault="009E39C1" w:rsidP="00AF57A1">
      <w:pPr>
        <w:spacing w:before="12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Governments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international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organisations</w:t>
      </w:r>
      <w:r w:rsidR="006C4EF3" w:rsidRPr="00904CDF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including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World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Bank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Asian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Development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Bank,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consider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infrastructure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financing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lay</w:t>
      </w:r>
      <w:r w:rsidRPr="00904CDF">
        <w:rPr>
          <w:rFonts w:ascii="Arial" w:hAnsi="Arial"/>
          <w:lang w:val="en-GB"/>
        </w:rPr>
        <w:t>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groundwork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SDGs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(Mansell</w:t>
      </w:r>
      <w:r w:rsidR="000E2DE9">
        <w:rPr>
          <w:rFonts w:ascii="Arial" w:hAnsi="Arial"/>
          <w:lang w:val="en-GB"/>
        </w:rPr>
        <w:t xml:space="preserve"> </w:t>
      </w:r>
      <w:r w:rsidR="00562B89" w:rsidRPr="0038778D">
        <w:rPr>
          <w:rFonts w:ascii="Arial" w:hAnsi="Arial"/>
          <w:i/>
          <w:lang w:val="en-GB"/>
        </w:rPr>
        <w:t>et</w:t>
      </w:r>
      <w:r w:rsidR="000E2DE9">
        <w:rPr>
          <w:rFonts w:ascii="Arial" w:hAnsi="Arial"/>
          <w:i/>
          <w:lang w:val="en-GB"/>
        </w:rPr>
        <w:t xml:space="preserve"> </w:t>
      </w:r>
      <w:r w:rsidR="00562B89" w:rsidRPr="0038778D">
        <w:rPr>
          <w:rFonts w:ascii="Arial" w:hAnsi="Arial"/>
          <w:i/>
          <w:lang w:val="en-GB"/>
        </w:rPr>
        <w:t>al</w:t>
      </w:r>
      <w:r w:rsidR="00562B89">
        <w:rPr>
          <w:rFonts w:ascii="Arial" w:hAnsi="Arial"/>
          <w:lang w:val="en-GB"/>
        </w:rPr>
        <w:t>.,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2020)</w:t>
      </w:r>
      <w:r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Therefore,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adequate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infrastructure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financing</w:t>
      </w:r>
      <w:r w:rsidR="005236BC" w:rsidRPr="00904CDF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including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building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upgrade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guarantees,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guarantees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Concession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Coverage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Funding,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Insurance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against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Project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Delay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Debtor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risk,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needs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made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available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ensure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long-term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utility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network-type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projects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not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refused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delayed.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contractual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documents,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procurement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conditions,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or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instruments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guaranteeing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project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subject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lengthy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disputes,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preparation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delays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will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continue,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infrastructure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utility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projects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will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not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start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quickly.</w:t>
      </w:r>
    </w:p>
    <w:p w14:paraId="6235F652" w14:textId="5A91A3F1" w:rsidR="003A0B60" w:rsidRPr="00AF57A1" w:rsidRDefault="009E39C1" w:rsidP="00AF57A1">
      <w:pPr>
        <w:pStyle w:val="Heading3"/>
        <w:spacing w:before="240" w:after="120" w:line="240" w:lineRule="auto"/>
        <w:jc w:val="both"/>
        <w:rPr>
          <w:rFonts w:ascii="Arial" w:hAnsi="Arial"/>
          <w:color w:val="auto"/>
          <w:lang w:val="en-GB"/>
        </w:rPr>
      </w:pPr>
      <w:r w:rsidRPr="00AF57A1">
        <w:rPr>
          <w:rFonts w:ascii="Arial" w:hAnsi="Arial"/>
          <w:color w:val="auto"/>
          <w:lang w:val="en-GB"/>
        </w:rPr>
        <w:t>Sustainable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Energy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Projects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and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Contractual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Risk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Allocation</w:t>
      </w:r>
    </w:p>
    <w:p w14:paraId="4B379D80" w14:textId="7E94065E" w:rsidR="003A0B60" w:rsidRPr="00904CDF" w:rsidRDefault="009E39C1" w:rsidP="00AF57A1">
      <w:pPr>
        <w:spacing w:before="12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energy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projects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aim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provide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clean,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affordable,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reliable,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modern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energy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services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(UN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ESCAP,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2020).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Their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successful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implementation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hinges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clear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risk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allocation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exploitation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power-off-take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partners.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Such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agreements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typically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stipulate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deliverables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associated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payment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</w:t>
      </w:r>
      <w:r w:rsidR="006C4EF3" w:rsidRPr="00904CDF">
        <w:rPr>
          <w:rFonts w:ascii="Arial" w:hAnsi="Arial"/>
          <w:lang w:val="en-GB"/>
        </w:rPr>
        <w:t>erms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distributed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energy,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including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electricity,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heat,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fuel,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carbon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credits,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materials,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other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commodities.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Off-take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risk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arises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when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anticipated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returns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from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committed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energy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products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fail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material</w:t>
      </w:r>
      <w:r w:rsidR="0063089D">
        <w:rPr>
          <w:rFonts w:ascii="Arial" w:hAnsi="Arial"/>
          <w:lang w:val="en-GB"/>
        </w:rPr>
        <w:t>is</w:t>
      </w:r>
      <w:r w:rsidRPr="00904CDF">
        <w:rPr>
          <w:rFonts w:ascii="Arial" w:hAnsi="Arial"/>
          <w:lang w:val="en-GB"/>
        </w:rPr>
        <w:t>e.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associated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economic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loss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compels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project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parties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collect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longer-term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performance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bonds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from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prospective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off-takers,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thereby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enhancing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project</w:t>
      </w:r>
      <w:r w:rsidR="0063089D">
        <w:rPr>
          <w:rFonts w:ascii="Arial" w:hAnsi="Arial"/>
          <w:lang w:val="en-GB"/>
        </w:rPr>
        <w:t>’</w:t>
      </w:r>
      <w:r w:rsidRPr="00904CDF">
        <w:rPr>
          <w:rFonts w:ascii="Arial" w:hAnsi="Arial"/>
          <w:lang w:val="en-GB"/>
        </w:rPr>
        <w:t>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reliability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accelerating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financing.</w:t>
      </w:r>
      <w:r w:rsidR="000E2DE9">
        <w:rPr>
          <w:rFonts w:ascii="Arial" w:hAnsi="Arial"/>
          <w:lang w:val="en-GB"/>
        </w:rPr>
        <w:t xml:space="preserve"> </w:t>
      </w:r>
    </w:p>
    <w:p w14:paraId="2FA21F0D" w14:textId="17AFC3FF" w:rsidR="003A0B60" w:rsidRPr="00904CDF" w:rsidRDefault="009E39C1" w:rsidP="00AF57A1">
      <w:pPr>
        <w:spacing w:before="240" w:after="240" w:line="240" w:lineRule="auto"/>
        <w:ind w:firstLine="357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Performance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bonds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safeguard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projects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against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non-execution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quantifying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value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committed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products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services.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Appropriate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expedited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procedures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real</w:t>
      </w:r>
      <w:r w:rsidR="0063089D">
        <w:rPr>
          <w:rFonts w:ascii="Arial" w:hAnsi="Arial"/>
          <w:lang w:val="en-GB"/>
        </w:rPr>
        <w:t>is</w:t>
      </w:r>
      <w:r w:rsidRPr="00904CDF">
        <w:rPr>
          <w:rFonts w:ascii="Arial" w:hAnsi="Arial"/>
          <w:lang w:val="en-GB"/>
        </w:rPr>
        <w:t>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bonds,</w:t>
      </w:r>
      <w:r w:rsidR="000E2DE9">
        <w:rPr>
          <w:rFonts w:ascii="Arial" w:hAnsi="Arial"/>
          <w:lang w:val="en-GB"/>
        </w:rPr>
        <w:t xml:space="preserve"> </w:t>
      </w:r>
      <w:r w:rsidR="00E639D9">
        <w:rPr>
          <w:rFonts w:ascii="Arial" w:hAnsi="Arial"/>
          <w:lang w:val="en-GB"/>
        </w:rPr>
        <w:t>together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provisions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extend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endorse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others,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further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bolster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6C4EF3" w:rsidRPr="00904CDF">
        <w:rPr>
          <w:rFonts w:ascii="Arial" w:hAnsi="Arial"/>
          <w:lang w:val="en-GB"/>
        </w:rPr>
        <w:t>undertaking</w:t>
      </w:r>
      <w:r w:rsidR="0063089D">
        <w:rPr>
          <w:rFonts w:ascii="Arial" w:hAnsi="Arial"/>
          <w:lang w:val="en-GB"/>
        </w:rPr>
        <w:t>’</w:t>
      </w:r>
      <w:r w:rsidR="006C4EF3" w:rsidRPr="00904CDF">
        <w:rPr>
          <w:rFonts w:ascii="Arial" w:hAnsi="Arial"/>
          <w:lang w:val="en-GB"/>
        </w:rPr>
        <w:t>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viability.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hybrid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regulatory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systems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encompassing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national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local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municipal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legislation,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alignment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between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project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national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remains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essential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seamless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realisation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lawful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obligations.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Full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realisation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either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tier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reinforces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commitment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637D7B" w:rsidRPr="00904CDF">
        <w:rPr>
          <w:rFonts w:ascii="Arial" w:hAnsi="Arial"/>
          <w:lang w:val="en-GB"/>
        </w:rPr>
        <w:t>provides</w:t>
      </w:r>
      <w:r w:rsidR="000E2DE9">
        <w:rPr>
          <w:rFonts w:ascii="Arial" w:hAnsi="Arial"/>
          <w:lang w:val="en-GB"/>
        </w:rPr>
        <w:t xml:space="preserve"> </w:t>
      </w:r>
      <w:r w:rsidR="00637D7B" w:rsidRPr="00904CDF">
        <w:rPr>
          <w:rFonts w:ascii="Arial" w:hAnsi="Arial"/>
          <w:lang w:val="en-GB"/>
        </w:rPr>
        <w:t>an</w:t>
      </w:r>
      <w:r w:rsidR="000E2DE9">
        <w:rPr>
          <w:rFonts w:ascii="Arial" w:hAnsi="Arial"/>
          <w:lang w:val="en-GB"/>
        </w:rPr>
        <w:t xml:space="preserve"> </w:t>
      </w:r>
      <w:r w:rsidR="00637D7B" w:rsidRPr="00904CDF">
        <w:rPr>
          <w:rFonts w:ascii="Arial" w:hAnsi="Arial"/>
          <w:lang w:val="en-GB"/>
        </w:rPr>
        <w:t>additional</w:t>
      </w:r>
      <w:r w:rsidR="000E2DE9">
        <w:rPr>
          <w:rFonts w:ascii="Arial" w:hAnsi="Arial"/>
          <w:lang w:val="en-GB"/>
        </w:rPr>
        <w:t xml:space="preserve"> </w:t>
      </w:r>
      <w:r w:rsidR="00637D7B" w:rsidRPr="00904CDF">
        <w:rPr>
          <w:rFonts w:ascii="Arial" w:hAnsi="Arial"/>
          <w:lang w:val="en-GB"/>
        </w:rPr>
        <w:t>contractual</w:t>
      </w:r>
      <w:r w:rsidR="000E2DE9">
        <w:rPr>
          <w:rFonts w:ascii="Arial" w:hAnsi="Arial"/>
          <w:lang w:val="en-GB"/>
        </w:rPr>
        <w:t xml:space="preserve"> </w:t>
      </w:r>
      <w:r w:rsidR="00637D7B" w:rsidRPr="00904CDF">
        <w:rPr>
          <w:rFonts w:ascii="Arial" w:hAnsi="Arial"/>
          <w:lang w:val="en-GB"/>
        </w:rPr>
        <w:t>foothold,</w:t>
      </w:r>
      <w:r w:rsidR="000E2DE9">
        <w:rPr>
          <w:rFonts w:ascii="Arial" w:hAnsi="Arial"/>
          <w:lang w:val="en-GB"/>
        </w:rPr>
        <w:t xml:space="preserve"> </w:t>
      </w:r>
      <w:r w:rsidR="00637D7B" w:rsidRPr="00904CDF">
        <w:rPr>
          <w:rFonts w:ascii="Arial" w:hAnsi="Arial"/>
          <w:lang w:val="en-GB"/>
        </w:rPr>
        <w:t>facilitating</w:t>
      </w:r>
      <w:r w:rsidR="000E2DE9">
        <w:rPr>
          <w:rFonts w:ascii="Arial" w:hAnsi="Arial"/>
          <w:lang w:val="en-GB"/>
        </w:rPr>
        <w:t xml:space="preserve"> </w:t>
      </w:r>
      <w:r w:rsidR="00637D7B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endorsement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renewal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permits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other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approvals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essential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operation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(Hickey,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2022)</w:t>
      </w:r>
      <w:r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</w:p>
    <w:p w14:paraId="798E109C" w14:textId="67880AC4" w:rsidR="003A0B60" w:rsidRPr="00AF57A1" w:rsidRDefault="00C14E04" w:rsidP="00AF57A1">
      <w:pPr>
        <w:pStyle w:val="Heading3"/>
        <w:spacing w:before="240" w:after="120" w:line="240" w:lineRule="auto"/>
        <w:jc w:val="both"/>
        <w:rPr>
          <w:rFonts w:ascii="Arial" w:hAnsi="Arial"/>
          <w:color w:val="auto"/>
          <w:lang w:val="en-GB"/>
        </w:rPr>
      </w:pPr>
      <w:r w:rsidRPr="00AF57A1">
        <w:rPr>
          <w:rFonts w:ascii="Arial" w:hAnsi="Arial"/>
          <w:color w:val="auto"/>
          <w:lang w:val="en-GB"/>
        </w:rPr>
        <w:t>PPPs</w:t>
      </w:r>
      <w:r w:rsidR="000E2DE9">
        <w:rPr>
          <w:rFonts w:ascii="Arial" w:hAnsi="Arial"/>
          <w:color w:val="auto"/>
          <w:lang w:val="en-GB"/>
        </w:rPr>
        <w:t xml:space="preserve"> </w:t>
      </w:r>
      <w:r w:rsidR="009E39C1" w:rsidRPr="00AF57A1">
        <w:rPr>
          <w:rFonts w:ascii="Arial" w:hAnsi="Arial"/>
          <w:color w:val="auto"/>
          <w:lang w:val="en-GB"/>
        </w:rPr>
        <w:t>and</w:t>
      </w:r>
      <w:r w:rsidR="000E2DE9">
        <w:rPr>
          <w:rFonts w:ascii="Arial" w:hAnsi="Arial"/>
          <w:color w:val="auto"/>
          <w:lang w:val="en-GB"/>
        </w:rPr>
        <w:t xml:space="preserve"> </w:t>
      </w:r>
      <w:r w:rsidR="009E39C1" w:rsidRPr="00AF57A1">
        <w:rPr>
          <w:rFonts w:ascii="Arial" w:hAnsi="Arial"/>
          <w:color w:val="auto"/>
          <w:lang w:val="en-GB"/>
        </w:rPr>
        <w:t>Governance</w:t>
      </w:r>
      <w:r w:rsidR="000E2DE9">
        <w:rPr>
          <w:rFonts w:ascii="Arial" w:hAnsi="Arial"/>
          <w:color w:val="auto"/>
          <w:lang w:val="en-GB"/>
        </w:rPr>
        <w:t xml:space="preserve"> </w:t>
      </w:r>
      <w:r w:rsidR="009E39C1" w:rsidRPr="00AF57A1">
        <w:rPr>
          <w:rFonts w:ascii="Arial" w:hAnsi="Arial"/>
          <w:color w:val="auto"/>
          <w:lang w:val="en-GB"/>
        </w:rPr>
        <w:t>Clauses</w:t>
      </w:r>
    </w:p>
    <w:p w14:paraId="5A20172C" w14:textId="59F2039C" w:rsidR="003A0B60" w:rsidRPr="00904CDF" w:rsidRDefault="009E39C1" w:rsidP="00AF57A1">
      <w:pPr>
        <w:spacing w:before="12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Governments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increasingly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PPPs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mobil</w:t>
      </w:r>
      <w:r w:rsidR="0063089D">
        <w:rPr>
          <w:rFonts w:ascii="Arial" w:hAnsi="Arial"/>
          <w:lang w:val="en-GB"/>
        </w:rPr>
        <w:t>is</w:t>
      </w:r>
      <w:r w:rsidRPr="00904CDF">
        <w:rPr>
          <w:rFonts w:ascii="Arial" w:hAnsi="Arial"/>
          <w:lang w:val="en-GB"/>
        </w:rPr>
        <w:t>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financing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expertise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infrastructure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services,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yet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often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lack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enforceability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(Berrone</w:t>
      </w:r>
      <w:r w:rsidR="000E2DE9">
        <w:rPr>
          <w:rFonts w:ascii="Arial" w:hAnsi="Arial"/>
          <w:lang w:val="en-GB"/>
        </w:rPr>
        <w:t xml:space="preserve"> </w:t>
      </w:r>
      <w:r w:rsidR="00562B89" w:rsidRPr="0038778D">
        <w:rPr>
          <w:rFonts w:ascii="Arial" w:hAnsi="Arial"/>
          <w:i/>
          <w:lang w:val="en-GB"/>
        </w:rPr>
        <w:t>et</w:t>
      </w:r>
      <w:r w:rsidR="000E2DE9">
        <w:rPr>
          <w:rFonts w:ascii="Arial" w:hAnsi="Arial"/>
          <w:i/>
          <w:lang w:val="en-GB"/>
        </w:rPr>
        <w:t xml:space="preserve"> </w:t>
      </w:r>
      <w:r w:rsidR="00562B89" w:rsidRPr="0038778D">
        <w:rPr>
          <w:rFonts w:ascii="Arial" w:hAnsi="Arial"/>
          <w:i/>
          <w:lang w:val="en-GB"/>
        </w:rPr>
        <w:t>al</w:t>
      </w:r>
      <w:r w:rsidR="00562B89">
        <w:rPr>
          <w:rFonts w:ascii="Arial" w:hAnsi="Arial"/>
          <w:lang w:val="en-GB"/>
        </w:rPr>
        <w:t>.,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2019)</w:t>
      </w:r>
      <w:r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Donor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countries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should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advocate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stronger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governance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frameworks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around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PPPs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specifying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oversight,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lastRenderedPageBreak/>
        <w:t>accountability,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long-term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sustainability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criteria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addition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their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impact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infrastructure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financing,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play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critical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role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sustainability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objectives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renewable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energy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projects.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When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governments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seek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facilitate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private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investment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energy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generation,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typically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provide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clear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tariff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schedules,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off-take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risk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sharing,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payment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guarantees,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security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interests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facilities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assets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reduce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contractual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uncertainty.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Such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terms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necessary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attract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investment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large-scale</w:t>
      </w:r>
      <w:r w:rsidR="005236BC" w:rsidRPr="00904CDF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capital-intensive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projects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achieve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Paris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Agreement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goals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climate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change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transition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low-carbon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economy.</w:t>
      </w:r>
    </w:p>
    <w:p w14:paraId="1C25DF68" w14:textId="5F2AF33F" w:rsidR="003A0B60" w:rsidRPr="00AF57A1" w:rsidRDefault="00AF57A1" w:rsidP="00AF57A1">
      <w:pPr>
        <w:pStyle w:val="Heading2"/>
        <w:spacing w:before="240" w:after="240" w:line="240" w:lineRule="auto"/>
        <w:jc w:val="both"/>
        <w:rPr>
          <w:rFonts w:ascii="Arial" w:hAnsi="Arial"/>
          <w:color w:val="FF0000"/>
          <w:sz w:val="22"/>
          <w:lang w:val="en-GB"/>
        </w:rPr>
      </w:pPr>
      <w:r w:rsidRPr="00AF57A1">
        <w:rPr>
          <w:rFonts w:ascii="Arial" w:hAnsi="Arial"/>
          <w:color w:val="FF0000"/>
          <w:sz w:val="22"/>
          <w:lang w:val="en-GB"/>
        </w:rPr>
        <w:t>POLICY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IMPLICATIONS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AND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ROADMAPS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FOR</w:t>
      </w:r>
      <w:r w:rsidR="000E2DE9">
        <w:rPr>
          <w:rFonts w:ascii="Arial" w:hAnsi="Arial"/>
          <w:color w:val="FF0000"/>
          <w:sz w:val="22"/>
          <w:lang w:val="en-GB"/>
        </w:rPr>
        <w:t xml:space="preserve"> </w:t>
      </w:r>
      <w:r w:rsidRPr="00AF57A1">
        <w:rPr>
          <w:rFonts w:ascii="Arial" w:hAnsi="Arial"/>
          <w:color w:val="FF0000"/>
          <w:sz w:val="22"/>
          <w:lang w:val="en-GB"/>
        </w:rPr>
        <w:t>REFORM</w:t>
      </w:r>
    </w:p>
    <w:p w14:paraId="73F86C40" w14:textId="137BF57E" w:rsidR="003A0B60" w:rsidRPr="00904CDF" w:rsidRDefault="009E39C1" w:rsidP="00AF57A1">
      <w:pPr>
        <w:spacing w:before="24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Well-designed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frameworks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improve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="005236BC" w:rsidRPr="00904CDF">
        <w:rPr>
          <w:rFonts w:ascii="Arial" w:hAnsi="Arial"/>
          <w:lang w:val="en-GB"/>
        </w:rPr>
        <w:t>enforcement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can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underpin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various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aspects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can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have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significant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impacts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investment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flows,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innovation,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attainment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specific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SDGs.</w:t>
      </w:r>
    </w:p>
    <w:p w14:paraId="1C5DBA6E" w14:textId="46AB966B" w:rsidR="003A0B60" w:rsidRPr="00904CDF" w:rsidRDefault="009E39C1" w:rsidP="00AF57A1">
      <w:pPr>
        <w:spacing w:before="240" w:after="240" w:line="240" w:lineRule="auto"/>
        <w:ind w:firstLine="357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Understanding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what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constitutes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essential.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Model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Electronic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Transferable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Records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(MLETR)</w:t>
      </w:r>
      <w:r w:rsidR="006D430E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adopted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United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Nations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Commission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International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Trade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(UNCITRAL)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2021</w:t>
      </w:r>
      <w:r w:rsidR="006D430E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defines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electronic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one</w:t>
      </w:r>
      <w:r w:rsidR="000E2DE9">
        <w:rPr>
          <w:rFonts w:ascii="Arial" w:hAnsi="Arial"/>
          <w:lang w:val="en-GB"/>
        </w:rPr>
        <w:t xml:space="preserve"> </w:t>
      </w:r>
      <w:r w:rsidR="0063089D">
        <w:rPr>
          <w:rFonts w:ascii="Arial" w:hAnsi="Arial"/>
          <w:lang w:val="en-GB"/>
        </w:rPr>
        <w:t>“</w:t>
      </w:r>
      <w:r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under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applicable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same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manner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comparable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written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form</w:t>
      </w:r>
      <w:r w:rsidR="0063089D">
        <w:rPr>
          <w:rFonts w:ascii="Arial" w:hAnsi="Arial"/>
          <w:lang w:val="en-GB"/>
        </w:rPr>
        <w:t>”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(ALsheyab,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2025;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Bartram</w:t>
      </w:r>
      <w:r w:rsidR="000E2DE9">
        <w:rPr>
          <w:rFonts w:ascii="Arial" w:hAnsi="Arial"/>
          <w:lang w:val="en-GB"/>
        </w:rPr>
        <w:t xml:space="preserve"> </w:t>
      </w:r>
      <w:r w:rsidR="00562B89" w:rsidRPr="0038778D">
        <w:rPr>
          <w:rFonts w:ascii="Arial" w:hAnsi="Arial"/>
          <w:i/>
          <w:lang w:val="en-GB"/>
        </w:rPr>
        <w:t>et</w:t>
      </w:r>
      <w:r w:rsidR="000E2DE9">
        <w:rPr>
          <w:rFonts w:ascii="Arial" w:hAnsi="Arial"/>
          <w:i/>
          <w:lang w:val="en-GB"/>
        </w:rPr>
        <w:t xml:space="preserve"> </w:t>
      </w:r>
      <w:r w:rsidR="00562B89" w:rsidRPr="0038778D">
        <w:rPr>
          <w:rFonts w:ascii="Arial" w:hAnsi="Arial"/>
          <w:i/>
          <w:lang w:val="en-GB"/>
        </w:rPr>
        <w:t>al</w:t>
      </w:r>
      <w:r w:rsidR="00562B89">
        <w:rPr>
          <w:rFonts w:ascii="Arial" w:hAnsi="Arial"/>
          <w:lang w:val="en-GB"/>
        </w:rPr>
        <w:t>.,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2018)</w:t>
      </w:r>
      <w:r w:rsidR="003617DB" w:rsidRPr="00904CDF">
        <w:rPr>
          <w:rFonts w:ascii="Arial" w:hAnsi="Arial"/>
          <w:color w:val="000000"/>
          <w:lang w:val="en-GB"/>
        </w:rPr>
        <w:t>.</w:t>
      </w:r>
    </w:p>
    <w:p w14:paraId="52C5C615" w14:textId="56235D37" w:rsidR="003A0B60" w:rsidRPr="00904CDF" w:rsidRDefault="009E39C1" w:rsidP="00AF57A1">
      <w:pPr>
        <w:spacing w:before="240" w:after="240" w:line="240" w:lineRule="auto"/>
        <w:ind w:firstLine="357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While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themselves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may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not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represent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ultimate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goal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benefits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secure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infrastructure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projects,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energy,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PPPs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recogn</w:t>
      </w:r>
      <w:r w:rsidR="0063089D">
        <w:rPr>
          <w:rFonts w:ascii="Arial" w:hAnsi="Arial"/>
          <w:lang w:val="en-GB"/>
        </w:rPr>
        <w:t>is</w:t>
      </w:r>
      <w:r w:rsidRPr="00904CDF">
        <w:rPr>
          <w:rFonts w:ascii="Arial" w:hAnsi="Arial"/>
          <w:lang w:val="en-GB"/>
        </w:rPr>
        <w:t>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multiple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disciplines,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including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economics,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political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science,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engineering.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Among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numerous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might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considered,</w:t>
      </w:r>
      <w:r w:rsidR="000E2DE9">
        <w:rPr>
          <w:rFonts w:ascii="Arial" w:hAnsi="Arial"/>
          <w:lang w:val="en-GB"/>
        </w:rPr>
        <w:t xml:space="preserve"> </w:t>
      </w:r>
      <w:r w:rsidR="00035601"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="00035601" w:rsidRPr="00904CDF">
        <w:rPr>
          <w:rFonts w:ascii="Arial" w:hAnsi="Arial"/>
          <w:lang w:val="en-GB"/>
        </w:rPr>
        <w:t>theorists</w:t>
      </w:r>
      <w:r w:rsidR="000E2DE9">
        <w:rPr>
          <w:rFonts w:ascii="Arial" w:hAnsi="Arial"/>
          <w:lang w:val="en-GB"/>
        </w:rPr>
        <w:t xml:space="preserve"> </w:t>
      </w:r>
      <w:r w:rsidR="00035601" w:rsidRPr="00904CDF">
        <w:rPr>
          <w:rFonts w:ascii="Arial" w:hAnsi="Arial"/>
          <w:lang w:val="en-GB"/>
        </w:rPr>
        <w:t>have</w:t>
      </w:r>
      <w:r w:rsidR="000E2DE9">
        <w:rPr>
          <w:rFonts w:ascii="Arial" w:hAnsi="Arial"/>
          <w:lang w:val="en-GB"/>
        </w:rPr>
        <w:t xml:space="preserve"> </w:t>
      </w:r>
      <w:r w:rsidR="00035601" w:rsidRPr="00904CDF">
        <w:rPr>
          <w:rFonts w:ascii="Arial" w:hAnsi="Arial"/>
          <w:lang w:val="en-GB"/>
        </w:rPr>
        <w:t>focused</w:t>
      </w:r>
      <w:r w:rsidR="000E2DE9">
        <w:rPr>
          <w:rFonts w:ascii="Arial" w:hAnsi="Arial"/>
          <w:lang w:val="en-GB"/>
        </w:rPr>
        <w:t xml:space="preserve"> </w:t>
      </w:r>
      <w:r w:rsidR="00035601"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="00035601" w:rsidRPr="00904CDF">
        <w:rPr>
          <w:rFonts w:ascii="Arial" w:hAnsi="Arial"/>
          <w:lang w:val="en-GB"/>
        </w:rPr>
        <w:t>legally</w:t>
      </w:r>
      <w:r w:rsidR="000E2DE9">
        <w:rPr>
          <w:rFonts w:ascii="Arial" w:hAnsi="Arial"/>
          <w:lang w:val="en-GB"/>
        </w:rPr>
        <w:t xml:space="preserve"> </w:t>
      </w:r>
      <w:r w:rsidR="00035601" w:rsidRPr="00904CDF">
        <w:rPr>
          <w:rFonts w:ascii="Arial" w:hAnsi="Arial"/>
          <w:lang w:val="en-GB"/>
        </w:rPr>
        <w:t>enforceable</w:t>
      </w:r>
      <w:r w:rsidR="000E2DE9">
        <w:rPr>
          <w:rFonts w:ascii="Arial" w:hAnsi="Arial"/>
          <w:lang w:val="en-GB"/>
        </w:rPr>
        <w:t xml:space="preserve"> </w:t>
      </w:r>
      <w:r w:rsidR="00035601" w:rsidRPr="00904CDF">
        <w:rPr>
          <w:rFonts w:ascii="Arial" w:hAnsi="Arial"/>
          <w:lang w:val="en-GB"/>
        </w:rPr>
        <w:t>contracts,</w:t>
      </w:r>
      <w:r w:rsidR="000E2DE9">
        <w:rPr>
          <w:rFonts w:ascii="Arial" w:hAnsi="Arial"/>
          <w:lang w:val="en-GB"/>
        </w:rPr>
        <w:t xml:space="preserve"> </w:t>
      </w:r>
      <w:r w:rsidR="00035601" w:rsidRPr="00904CDF">
        <w:rPr>
          <w:rFonts w:ascii="Arial" w:hAnsi="Arial"/>
          <w:lang w:val="en-GB"/>
        </w:rPr>
        <w:t>which</w:t>
      </w:r>
      <w:r w:rsidR="000E2DE9">
        <w:rPr>
          <w:rFonts w:ascii="Arial" w:hAnsi="Arial"/>
          <w:lang w:val="en-GB"/>
        </w:rPr>
        <w:t xml:space="preserve"> </w:t>
      </w:r>
      <w:r w:rsidR="00C714F4" w:rsidRPr="00904CDF">
        <w:rPr>
          <w:rFonts w:ascii="Arial" w:hAnsi="Arial"/>
          <w:lang w:val="en-GB"/>
        </w:rPr>
        <w:t>remain</w:t>
      </w:r>
      <w:r w:rsidR="000E2DE9">
        <w:rPr>
          <w:rFonts w:ascii="Arial" w:hAnsi="Arial"/>
          <w:lang w:val="en-GB"/>
        </w:rPr>
        <w:t xml:space="preserve"> </w:t>
      </w:r>
      <w:r w:rsidR="00035601"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="00035601" w:rsidRPr="00904CDF">
        <w:rPr>
          <w:rFonts w:ascii="Arial" w:hAnsi="Arial"/>
          <w:lang w:val="en-GB"/>
        </w:rPr>
        <w:t>necessary</w:t>
      </w:r>
      <w:r w:rsidR="000E2DE9">
        <w:rPr>
          <w:rFonts w:ascii="Arial" w:hAnsi="Arial"/>
          <w:lang w:val="en-GB"/>
        </w:rPr>
        <w:t xml:space="preserve"> </w:t>
      </w:r>
      <w:r w:rsidR="00035601" w:rsidRPr="00904CDF">
        <w:rPr>
          <w:rFonts w:ascii="Arial" w:hAnsi="Arial"/>
          <w:lang w:val="en-GB"/>
        </w:rPr>
        <w:t>condition</w:t>
      </w:r>
      <w:r w:rsidR="000E2DE9">
        <w:rPr>
          <w:rFonts w:ascii="Arial" w:hAnsi="Arial"/>
          <w:lang w:val="en-GB"/>
        </w:rPr>
        <w:t xml:space="preserve"> </w:t>
      </w:r>
      <w:r w:rsidR="00035601"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="00035601"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="00035601" w:rsidRPr="00904CDF">
        <w:rPr>
          <w:rFonts w:ascii="Arial" w:hAnsi="Arial"/>
          <w:lang w:val="en-GB"/>
        </w:rPr>
        <w:t>development</w:t>
      </w:r>
      <w:r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</w:p>
    <w:p w14:paraId="084CEF58" w14:textId="38443B0F" w:rsidR="003A0B60" w:rsidRPr="00AF57A1" w:rsidRDefault="009E39C1" w:rsidP="00AF57A1">
      <w:pPr>
        <w:pStyle w:val="Heading3"/>
        <w:spacing w:before="240" w:after="120" w:line="240" w:lineRule="auto"/>
        <w:jc w:val="both"/>
        <w:rPr>
          <w:rFonts w:ascii="Arial" w:hAnsi="Arial"/>
          <w:color w:val="auto"/>
          <w:lang w:val="en-GB"/>
        </w:rPr>
      </w:pPr>
      <w:r w:rsidRPr="00AF57A1">
        <w:rPr>
          <w:rFonts w:ascii="Arial" w:hAnsi="Arial"/>
          <w:color w:val="auto"/>
          <w:lang w:val="en-GB"/>
        </w:rPr>
        <w:t>Domestic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Reform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Pathways</w:t>
      </w:r>
    </w:p>
    <w:p w14:paraId="0A86C309" w14:textId="34A825E0" w:rsidR="003A0B60" w:rsidRPr="00904CDF" w:rsidRDefault="009E39C1" w:rsidP="00AF57A1">
      <w:pPr>
        <w:spacing w:before="12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address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civil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restrictions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promote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investment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climate,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domestic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reform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should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encompass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both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substantive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amendments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institutional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implementation.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Substantive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legislation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must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harmon</w:t>
      </w:r>
      <w:r w:rsidR="0063089D">
        <w:rPr>
          <w:rFonts w:ascii="Arial" w:hAnsi="Arial"/>
          <w:lang w:val="en-GB"/>
        </w:rPr>
        <w:t>is</w:t>
      </w:r>
      <w:r w:rsidRPr="00904CDF">
        <w:rPr>
          <w:rFonts w:ascii="Arial" w:hAnsi="Arial"/>
          <w:lang w:val="en-GB"/>
        </w:rPr>
        <w:t>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evidence,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administration.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Jurisdictions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should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mandate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e-signatures,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establish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digital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registries,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recogn</w:t>
      </w:r>
      <w:r w:rsidR="0063089D">
        <w:rPr>
          <w:rFonts w:ascii="Arial" w:hAnsi="Arial"/>
          <w:lang w:val="en-GB"/>
        </w:rPr>
        <w:t>is</w:t>
      </w:r>
      <w:r w:rsidRPr="00904CDF">
        <w:rPr>
          <w:rFonts w:ascii="Arial" w:hAnsi="Arial"/>
          <w:lang w:val="en-GB"/>
        </w:rPr>
        <w:t>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enforceability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smart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Transparent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criteria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will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determine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which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deemed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acceptable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purposes.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Institutional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reform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must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enhance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operational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capacity.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Special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case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management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mechanisms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should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prioritise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enforcement-sensitive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performance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benchmarks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judges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specific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remedial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timing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state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agencies.</w:t>
      </w:r>
    </w:p>
    <w:p w14:paraId="490E85C6" w14:textId="35868B0F" w:rsidR="00864AB6" w:rsidRDefault="009E39C1" w:rsidP="00AF57A1">
      <w:pPr>
        <w:spacing w:before="240" w:after="240" w:line="240" w:lineRule="auto"/>
        <w:ind w:firstLine="357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following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steps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will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enhance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access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864AB6">
        <w:rPr>
          <w:rFonts w:ascii="Arial" w:hAnsi="Arial"/>
          <w:lang w:val="en-GB"/>
        </w:rPr>
        <w:t>:</w:t>
      </w:r>
      <w:r w:rsidR="000E2DE9">
        <w:rPr>
          <w:rFonts w:ascii="Arial" w:hAnsi="Arial"/>
          <w:lang w:val="en-GB"/>
        </w:rPr>
        <w:t xml:space="preserve"> </w:t>
      </w:r>
    </w:p>
    <w:p w14:paraId="1AEC7B53" w14:textId="6EED776A" w:rsidR="00864AB6" w:rsidRDefault="009E39C1" w:rsidP="00864AB6">
      <w:pPr>
        <w:pStyle w:val="ListParagraph"/>
        <w:numPr>
          <w:ilvl w:val="0"/>
          <w:numId w:val="12"/>
        </w:numPr>
        <w:spacing w:before="240" w:after="240" w:line="240" w:lineRule="auto"/>
        <w:ind w:left="714" w:hanging="357"/>
        <w:jc w:val="both"/>
        <w:rPr>
          <w:rFonts w:ascii="Arial" w:hAnsi="Arial"/>
          <w:lang w:val="en-GB"/>
        </w:rPr>
      </w:pPr>
      <w:r w:rsidRPr="00864AB6">
        <w:rPr>
          <w:rFonts w:ascii="Arial" w:hAnsi="Arial"/>
          <w:lang w:val="en-GB"/>
        </w:rPr>
        <w:t>promote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mediation,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arbitration,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other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forms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settlement;</w:t>
      </w:r>
    </w:p>
    <w:p w14:paraId="0DD3E778" w14:textId="45C48D8B" w:rsidR="00864AB6" w:rsidRDefault="009E39C1" w:rsidP="00864AB6">
      <w:pPr>
        <w:pStyle w:val="ListParagraph"/>
        <w:numPr>
          <w:ilvl w:val="0"/>
          <w:numId w:val="12"/>
        </w:numPr>
        <w:spacing w:before="240" w:after="240" w:line="240" w:lineRule="auto"/>
        <w:ind w:left="714" w:hanging="357"/>
        <w:jc w:val="both"/>
        <w:rPr>
          <w:rFonts w:ascii="Arial" w:hAnsi="Arial"/>
          <w:lang w:val="en-GB"/>
        </w:rPr>
      </w:pPr>
      <w:r w:rsidRPr="00864AB6">
        <w:rPr>
          <w:rFonts w:ascii="Arial" w:hAnsi="Arial"/>
          <w:lang w:val="en-GB"/>
        </w:rPr>
        <w:t>provide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training,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outreach,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information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users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both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official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languages;</w:t>
      </w:r>
    </w:p>
    <w:p w14:paraId="4F978357" w14:textId="0A44C7A5" w:rsidR="00864AB6" w:rsidRDefault="009E39C1" w:rsidP="00864AB6">
      <w:pPr>
        <w:pStyle w:val="ListParagraph"/>
        <w:numPr>
          <w:ilvl w:val="0"/>
          <w:numId w:val="12"/>
        </w:numPr>
        <w:spacing w:before="240" w:after="240" w:line="240" w:lineRule="auto"/>
        <w:ind w:left="714" w:hanging="357"/>
        <w:jc w:val="both"/>
        <w:rPr>
          <w:rFonts w:ascii="Arial" w:hAnsi="Arial"/>
          <w:lang w:val="en-GB"/>
        </w:rPr>
      </w:pPr>
      <w:r w:rsidRPr="00864AB6">
        <w:rPr>
          <w:rFonts w:ascii="Arial" w:hAnsi="Arial"/>
          <w:lang w:val="en-GB"/>
        </w:rPr>
        <w:t>create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public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registers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mediation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arbitration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clauses;</w:t>
      </w:r>
    </w:p>
    <w:p w14:paraId="73E17AF9" w14:textId="358863B7" w:rsidR="00864AB6" w:rsidRDefault="009E39C1" w:rsidP="00864AB6">
      <w:pPr>
        <w:pStyle w:val="ListParagraph"/>
        <w:numPr>
          <w:ilvl w:val="0"/>
          <w:numId w:val="12"/>
        </w:numPr>
        <w:spacing w:before="240" w:after="240" w:line="240" w:lineRule="auto"/>
        <w:ind w:left="714" w:hanging="357"/>
        <w:jc w:val="both"/>
        <w:rPr>
          <w:rFonts w:ascii="Arial" w:hAnsi="Arial"/>
          <w:lang w:val="en-GB"/>
        </w:rPr>
      </w:pPr>
      <w:r w:rsidRPr="00864AB6">
        <w:rPr>
          <w:rFonts w:ascii="Arial" w:hAnsi="Arial"/>
          <w:lang w:val="en-GB"/>
        </w:rPr>
        <w:t>empower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courts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stay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proceedings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pending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voluntary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resolution;</w:t>
      </w:r>
    </w:p>
    <w:p w14:paraId="4DBFEAC7" w14:textId="7409F60D" w:rsidR="00864AB6" w:rsidRDefault="009E39C1" w:rsidP="00864AB6">
      <w:pPr>
        <w:pStyle w:val="ListParagraph"/>
        <w:numPr>
          <w:ilvl w:val="0"/>
          <w:numId w:val="12"/>
        </w:numPr>
        <w:spacing w:before="240" w:after="240" w:line="240" w:lineRule="auto"/>
        <w:ind w:left="714" w:hanging="357"/>
        <w:jc w:val="both"/>
        <w:rPr>
          <w:rFonts w:ascii="Arial" w:hAnsi="Arial"/>
          <w:lang w:val="en-GB"/>
        </w:rPr>
      </w:pPr>
      <w:r w:rsidRPr="00864AB6">
        <w:rPr>
          <w:rFonts w:ascii="Arial" w:hAnsi="Arial"/>
          <w:lang w:val="en-GB"/>
        </w:rPr>
        <w:t>establish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standards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enforceable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mediations;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and</w:t>
      </w:r>
    </w:p>
    <w:p w14:paraId="179924C3" w14:textId="2445807C" w:rsidR="00864AB6" w:rsidRPr="00864AB6" w:rsidRDefault="009E39C1" w:rsidP="00864AB6">
      <w:pPr>
        <w:pStyle w:val="ListParagraph"/>
        <w:numPr>
          <w:ilvl w:val="0"/>
          <w:numId w:val="12"/>
        </w:numPr>
        <w:spacing w:before="240" w:after="240" w:line="240" w:lineRule="auto"/>
        <w:ind w:left="714" w:hanging="357"/>
        <w:jc w:val="both"/>
        <w:rPr>
          <w:rFonts w:ascii="Arial" w:hAnsi="Arial"/>
          <w:lang w:val="en-GB"/>
        </w:rPr>
      </w:pPr>
      <w:r w:rsidRPr="00864AB6">
        <w:rPr>
          <w:rFonts w:ascii="Arial" w:hAnsi="Arial"/>
          <w:lang w:val="en-GB"/>
        </w:rPr>
        <w:t>develop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an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integrated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information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system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linking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judiciary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relevant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administrative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authorities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facilitate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full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execution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settlement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agreements</w:t>
      </w:r>
      <w:r w:rsidR="000E2DE9">
        <w:rPr>
          <w:rFonts w:ascii="Arial" w:hAnsi="Arial"/>
          <w:lang w:val="en-GB"/>
        </w:rPr>
        <w:t xml:space="preserve"> </w:t>
      </w:r>
      <w:r w:rsidR="00562B89" w:rsidRPr="00864AB6">
        <w:rPr>
          <w:rFonts w:ascii="Arial" w:hAnsi="Arial"/>
          <w:lang w:val="en-GB"/>
        </w:rPr>
        <w:t>(Sherman</w:t>
      </w:r>
      <w:r w:rsidR="000E2DE9">
        <w:rPr>
          <w:rFonts w:ascii="Arial" w:hAnsi="Arial"/>
          <w:lang w:val="en-GB"/>
        </w:rPr>
        <w:t xml:space="preserve"> </w:t>
      </w:r>
      <w:r w:rsidR="00562B89" w:rsidRPr="00864AB6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562B89" w:rsidRPr="00864AB6">
        <w:rPr>
          <w:rFonts w:ascii="Arial" w:hAnsi="Arial"/>
          <w:lang w:val="en-GB"/>
        </w:rPr>
        <w:t>Momani,</w:t>
      </w:r>
      <w:r w:rsidR="000E2DE9">
        <w:rPr>
          <w:rFonts w:ascii="Arial" w:hAnsi="Arial"/>
          <w:lang w:val="en-GB"/>
        </w:rPr>
        <w:t xml:space="preserve"> </w:t>
      </w:r>
      <w:r w:rsidR="00562B89" w:rsidRPr="00864AB6">
        <w:rPr>
          <w:rFonts w:ascii="Arial" w:hAnsi="Arial"/>
          <w:lang w:val="en-GB"/>
        </w:rPr>
        <w:t>2025)</w:t>
      </w:r>
      <w:r w:rsidRPr="00864AB6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</w:p>
    <w:p w14:paraId="6EF4EF5B" w14:textId="47B8B131" w:rsidR="003A0B60" w:rsidRPr="00904CDF" w:rsidRDefault="009E39C1" w:rsidP="0038778D">
      <w:pPr>
        <w:spacing w:before="24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Fast,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affordable,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easily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accessible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key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unleashing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investment,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job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creation,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growth.</w:t>
      </w:r>
    </w:p>
    <w:p w14:paraId="458F7403" w14:textId="1A7B3D6F" w:rsidR="003A0B60" w:rsidRPr="00AF57A1" w:rsidRDefault="009E39C1" w:rsidP="00AF57A1">
      <w:pPr>
        <w:pStyle w:val="Heading3"/>
        <w:spacing w:before="240" w:after="120" w:line="240" w:lineRule="auto"/>
        <w:jc w:val="both"/>
        <w:rPr>
          <w:rFonts w:ascii="Arial" w:hAnsi="Arial"/>
          <w:color w:val="auto"/>
          <w:lang w:val="en-GB"/>
        </w:rPr>
      </w:pPr>
      <w:r w:rsidRPr="00AF57A1">
        <w:rPr>
          <w:rFonts w:ascii="Arial" w:hAnsi="Arial"/>
          <w:color w:val="auto"/>
          <w:lang w:val="en-GB"/>
        </w:rPr>
        <w:t>Regional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and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International</w:t>
      </w:r>
      <w:r w:rsidR="000E2DE9">
        <w:rPr>
          <w:rFonts w:ascii="Arial" w:hAnsi="Arial"/>
          <w:color w:val="auto"/>
          <w:lang w:val="en-GB"/>
        </w:rPr>
        <w:t xml:space="preserve"> </w:t>
      </w:r>
      <w:r w:rsidR="0063089D">
        <w:rPr>
          <w:rFonts w:ascii="Arial" w:hAnsi="Arial"/>
          <w:color w:val="auto"/>
          <w:lang w:val="en-GB"/>
        </w:rPr>
        <w:t>Co-o</w:t>
      </w:r>
      <w:r w:rsidRPr="00AF57A1">
        <w:rPr>
          <w:rFonts w:ascii="Arial" w:hAnsi="Arial"/>
          <w:color w:val="auto"/>
          <w:lang w:val="en-GB"/>
        </w:rPr>
        <w:t>peration</w:t>
      </w:r>
    </w:p>
    <w:p w14:paraId="6370AB6B" w14:textId="6EA2D7F6" w:rsidR="00864AB6" w:rsidRDefault="009E39C1" w:rsidP="00AF57A1">
      <w:pPr>
        <w:spacing w:before="12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Establishing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reliable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predictable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framework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support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</w:t>
      </w:r>
      <w:r w:rsidR="000E2DE9">
        <w:rPr>
          <w:rFonts w:ascii="Arial" w:hAnsi="Arial"/>
          <w:lang w:val="en-GB"/>
        </w:rPr>
        <w:t xml:space="preserve"> </w:t>
      </w:r>
      <w:r w:rsidR="0083763C" w:rsidRPr="00904CDF">
        <w:rPr>
          <w:rFonts w:ascii="Arial" w:hAnsi="Arial"/>
          <w:lang w:val="en-GB"/>
        </w:rPr>
        <w:t>primarily</w:t>
      </w:r>
      <w:r w:rsidR="000E2DE9">
        <w:rPr>
          <w:rFonts w:ascii="Arial" w:hAnsi="Arial"/>
          <w:lang w:val="en-GB"/>
        </w:rPr>
        <w:t xml:space="preserve"> </w:t>
      </w:r>
      <w:r w:rsidR="0083763C" w:rsidRPr="00904CDF">
        <w:rPr>
          <w:rFonts w:ascii="Arial" w:hAnsi="Arial"/>
          <w:lang w:val="en-GB"/>
        </w:rPr>
        <w:t>relies</w:t>
      </w:r>
      <w:r w:rsidR="000E2DE9">
        <w:rPr>
          <w:rFonts w:ascii="Arial" w:hAnsi="Arial"/>
          <w:lang w:val="en-GB"/>
        </w:rPr>
        <w:t xml:space="preserve"> </w:t>
      </w:r>
      <w:r w:rsidR="0083763C"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="0083763C" w:rsidRPr="00904CDF">
        <w:rPr>
          <w:rFonts w:ascii="Arial" w:hAnsi="Arial"/>
          <w:lang w:val="en-GB"/>
        </w:rPr>
        <w:t>domestic</w:t>
      </w:r>
      <w:r w:rsidR="000E2DE9">
        <w:rPr>
          <w:rFonts w:ascii="Arial" w:hAnsi="Arial"/>
          <w:lang w:val="en-GB"/>
        </w:rPr>
        <w:t xml:space="preserve"> </w:t>
      </w:r>
      <w:r w:rsidR="0083763C" w:rsidRPr="00904CDF">
        <w:rPr>
          <w:rFonts w:ascii="Arial" w:hAnsi="Arial"/>
          <w:lang w:val="en-GB"/>
        </w:rPr>
        <w:t>reform</w:t>
      </w:r>
      <w:r w:rsidR="000E2DE9">
        <w:rPr>
          <w:rFonts w:ascii="Arial" w:hAnsi="Arial"/>
          <w:lang w:val="en-GB"/>
        </w:rPr>
        <w:t xml:space="preserve"> </w:t>
      </w:r>
      <w:r w:rsidR="0083763C" w:rsidRPr="00904CDF">
        <w:rPr>
          <w:rFonts w:ascii="Arial" w:hAnsi="Arial"/>
          <w:lang w:val="en-GB"/>
        </w:rPr>
        <w:t>actions</w:t>
      </w:r>
      <w:r w:rsidR="000E2DE9">
        <w:rPr>
          <w:rFonts w:ascii="Arial" w:hAnsi="Arial"/>
          <w:lang w:val="en-GB"/>
        </w:rPr>
        <w:t xml:space="preserve"> </w:t>
      </w:r>
      <w:r w:rsidR="0083763C" w:rsidRPr="00904CDF">
        <w:rPr>
          <w:rFonts w:ascii="Arial" w:hAnsi="Arial"/>
          <w:lang w:val="en-GB"/>
        </w:rPr>
        <w:t>aligned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evidence-</w:t>
      </w:r>
      <w:r w:rsidRPr="00904CDF">
        <w:rPr>
          <w:rFonts w:ascii="Arial" w:hAnsi="Arial"/>
          <w:lang w:val="en-GB"/>
        </w:rPr>
        <w:lastRenderedPageBreak/>
        <w:t>based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rationale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linking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secure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Nevertheless,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international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regional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collaboration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can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play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leadership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role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areas:</w:t>
      </w:r>
    </w:p>
    <w:p w14:paraId="74878ADF" w14:textId="0E1BF56C" w:rsidR="00864AB6" w:rsidRPr="00864AB6" w:rsidRDefault="0063089D" w:rsidP="00864AB6">
      <w:pPr>
        <w:pStyle w:val="ListParagraph"/>
        <w:numPr>
          <w:ilvl w:val="0"/>
          <w:numId w:val="13"/>
        </w:numPr>
        <w:spacing w:before="120" w:after="240" w:line="240" w:lineRule="auto"/>
        <w:ind w:left="714" w:hanging="357"/>
        <w:jc w:val="both"/>
        <w:rPr>
          <w:rFonts w:ascii="Arial" w:hAnsi="Arial"/>
          <w:lang w:val="en-GB"/>
        </w:rPr>
      </w:pPr>
      <w:r w:rsidRPr="00864AB6">
        <w:rPr>
          <w:rFonts w:ascii="Arial" w:hAnsi="Arial"/>
          <w:lang w:val="en-GB"/>
        </w:rPr>
        <w:t>co-o</w:t>
      </w:r>
      <w:r w:rsidR="009E39C1" w:rsidRPr="00864AB6">
        <w:rPr>
          <w:rFonts w:ascii="Arial" w:hAnsi="Arial"/>
          <w:lang w:val="en-GB"/>
        </w:rPr>
        <w:t>rdinating</w:t>
      </w:r>
      <w:r w:rsidR="000E2DE9">
        <w:rPr>
          <w:rFonts w:ascii="Arial" w:hAnsi="Arial"/>
          <w:lang w:val="en-GB"/>
        </w:rPr>
        <w:t xml:space="preserve"> </w:t>
      </w:r>
      <w:r w:rsidR="009E39C1" w:rsidRPr="00864AB6">
        <w:rPr>
          <w:rFonts w:ascii="Arial" w:hAnsi="Arial"/>
          <w:lang w:val="en-GB"/>
        </w:rPr>
        <w:t>measures</w:t>
      </w:r>
      <w:r w:rsidR="000E2DE9">
        <w:rPr>
          <w:rFonts w:ascii="Arial" w:hAnsi="Arial"/>
          <w:lang w:val="en-GB"/>
        </w:rPr>
        <w:t xml:space="preserve"> </w:t>
      </w:r>
      <w:r w:rsidR="009E39C1" w:rsidRPr="00864AB6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="009E39C1" w:rsidRPr="00864AB6">
        <w:rPr>
          <w:rFonts w:ascii="Arial" w:hAnsi="Arial"/>
          <w:lang w:val="en-GB"/>
        </w:rPr>
        <w:t>facilitate</w:t>
      </w:r>
      <w:r w:rsidR="000E2DE9">
        <w:rPr>
          <w:rFonts w:ascii="Arial" w:hAnsi="Arial"/>
          <w:lang w:val="en-GB"/>
        </w:rPr>
        <w:t xml:space="preserve"> </w:t>
      </w:r>
      <w:r w:rsidR="009E39C1" w:rsidRPr="00864AB6">
        <w:rPr>
          <w:rFonts w:ascii="Arial" w:hAnsi="Arial"/>
          <w:lang w:val="en-GB"/>
        </w:rPr>
        <w:t>progress,</w:t>
      </w:r>
      <w:r w:rsidR="000E2DE9">
        <w:rPr>
          <w:rFonts w:ascii="Arial" w:hAnsi="Arial"/>
          <w:lang w:val="en-GB"/>
        </w:rPr>
        <w:t xml:space="preserve"> </w:t>
      </w:r>
      <w:r w:rsidR="009E39C1" w:rsidRPr="00864AB6">
        <w:rPr>
          <w:rFonts w:ascii="Arial" w:hAnsi="Arial"/>
          <w:lang w:val="en-GB"/>
        </w:rPr>
        <w:t>especially</w:t>
      </w:r>
      <w:r w:rsidR="000E2DE9">
        <w:rPr>
          <w:rFonts w:ascii="Arial" w:hAnsi="Arial"/>
          <w:lang w:val="en-GB"/>
        </w:rPr>
        <w:t xml:space="preserve"> </w:t>
      </w:r>
      <w:r w:rsidR="009E39C1" w:rsidRPr="00864AB6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="009E39C1" w:rsidRPr="00864AB6">
        <w:rPr>
          <w:rFonts w:ascii="Arial" w:hAnsi="Arial"/>
          <w:lang w:val="en-GB"/>
        </w:rPr>
        <w:t>countries</w:t>
      </w:r>
      <w:r w:rsidR="000E2DE9">
        <w:rPr>
          <w:rFonts w:ascii="Arial" w:hAnsi="Arial"/>
          <w:lang w:val="en-GB"/>
        </w:rPr>
        <w:t xml:space="preserve"> </w:t>
      </w:r>
      <w:r w:rsidR="009E39C1" w:rsidRPr="00864AB6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="009E39C1" w:rsidRPr="00864AB6">
        <w:rPr>
          <w:rFonts w:ascii="Arial" w:hAnsi="Arial"/>
          <w:lang w:val="en-GB"/>
        </w:rPr>
        <w:t>weak</w:t>
      </w:r>
      <w:r w:rsidR="000E2DE9">
        <w:rPr>
          <w:rFonts w:ascii="Arial" w:hAnsi="Arial"/>
          <w:lang w:val="en-GB"/>
        </w:rPr>
        <w:t xml:space="preserve"> </w:t>
      </w:r>
      <w:r w:rsidR="009E39C1" w:rsidRPr="00864AB6">
        <w:rPr>
          <w:rFonts w:ascii="Arial" w:hAnsi="Arial"/>
          <w:lang w:val="en-GB"/>
        </w:rPr>
        <w:t>domestic</w:t>
      </w:r>
      <w:r w:rsidR="000E2DE9">
        <w:rPr>
          <w:rFonts w:ascii="Arial" w:hAnsi="Arial"/>
          <w:lang w:val="en-GB"/>
        </w:rPr>
        <w:t xml:space="preserve"> </w:t>
      </w:r>
      <w:r w:rsidR="009E39C1" w:rsidRPr="00864AB6">
        <w:rPr>
          <w:rFonts w:ascii="Arial" w:hAnsi="Arial"/>
          <w:lang w:val="en-GB"/>
        </w:rPr>
        <w:t>institutions;</w:t>
      </w:r>
    </w:p>
    <w:p w14:paraId="04498FE6" w14:textId="3BC7762C" w:rsidR="00864AB6" w:rsidRDefault="009E39C1" w:rsidP="00864AB6">
      <w:pPr>
        <w:pStyle w:val="ListParagraph"/>
        <w:numPr>
          <w:ilvl w:val="0"/>
          <w:numId w:val="13"/>
        </w:numPr>
        <w:spacing w:before="120" w:after="240" w:line="240" w:lineRule="auto"/>
        <w:ind w:left="714" w:hanging="357"/>
        <w:jc w:val="both"/>
        <w:rPr>
          <w:rFonts w:ascii="Arial" w:hAnsi="Arial"/>
          <w:lang w:val="en-GB"/>
        </w:rPr>
      </w:pPr>
      <w:r w:rsidRPr="00864AB6">
        <w:rPr>
          <w:rFonts w:ascii="Arial" w:hAnsi="Arial"/>
          <w:lang w:val="en-GB"/>
        </w:rPr>
        <w:t>proposing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new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treaty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instruments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or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implementing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protocols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embed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strong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rules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contracting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specific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sectors;</w:t>
      </w:r>
    </w:p>
    <w:p w14:paraId="693F0935" w14:textId="55B89C41" w:rsidR="00864AB6" w:rsidRDefault="009E39C1" w:rsidP="00864AB6">
      <w:pPr>
        <w:pStyle w:val="ListParagraph"/>
        <w:numPr>
          <w:ilvl w:val="0"/>
          <w:numId w:val="13"/>
        </w:numPr>
        <w:spacing w:before="120" w:after="240" w:line="240" w:lineRule="auto"/>
        <w:ind w:left="714" w:hanging="357"/>
        <w:jc w:val="both"/>
        <w:rPr>
          <w:rFonts w:ascii="Arial" w:hAnsi="Arial"/>
          <w:lang w:val="en-GB"/>
        </w:rPr>
      </w:pPr>
      <w:r w:rsidRPr="00864AB6">
        <w:rPr>
          <w:rFonts w:ascii="Arial" w:hAnsi="Arial"/>
          <w:lang w:val="en-GB"/>
        </w:rPr>
        <w:t>recognising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interdependence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across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jurisdictions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encouraging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gradual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alignment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interoperability;</w:t>
      </w:r>
    </w:p>
    <w:p w14:paraId="358E22FF" w14:textId="2767BD6C" w:rsidR="00864AB6" w:rsidRDefault="009E39C1" w:rsidP="00864AB6">
      <w:pPr>
        <w:pStyle w:val="ListParagraph"/>
        <w:numPr>
          <w:ilvl w:val="0"/>
          <w:numId w:val="13"/>
        </w:numPr>
        <w:spacing w:before="120" w:after="240" w:line="240" w:lineRule="auto"/>
        <w:ind w:left="714" w:hanging="357"/>
        <w:jc w:val="both"/>
        <w:rPr>
          <w:rFonts w:ascii="Arial" w:hAnsi="Arial"/>
          <w:lang w:val="en-GB"/>
        </w:rPr>
      </w:pPr>
      <w:r w:rsidRPr="00864AB6">
        <w:rPr>
          <w:rFonts w:ascii="Arial" w:hAnsi="Arial"/>
          <w:lang w:val="en-GB"/>
        </w:rPr>
        <w:t>promoting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harmon</w:t>
      </w:r>
      <w:r w:rsidR="0063089D" w:rsidRPr="00864AB6">
        <w:rPr>
          <w:rFonts w:ascii="Arial" w:hAnsi="Arial"/>
          <w:lang w:val="en-GB"/>
        </w:rPr>
        <w:t>is</w:t>
      </w:r>
      <w:r w:rsidRPr="00864AB6">
        <w:rPr>
          <w:rFonts w:ascii="Arial" w:hAnsi="Arial"/>
          <w:lang w:val="en-GB"/>
        </w:rPr>
        <w:t>ation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key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aspects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institutional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infrastructure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underpinning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enforcement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across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countries;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and</w:t>
      </w:r>
    </w:p>
    <w:p w14:paraId="2B627DF8" w14:textId="2DB37FEC" w:rsidR="003A0B60" w:rsidRPr="00864AB6" w:rsidRDefault="009E39C1" w:rsidP="00864AB6">
      <w:pPr>
        <w:pStyle w:val="ListParagraph"/>
        <w:numPr>
          <w:ilvl w:val="0"/>
          <w:numId w:val="13"/>
        </w:numPr>
        <w:spacing w:before="120" w:after="240" w:line="240" w:lineRule="auto"/>
        <w:ind w:left="714" w:hanging="357"/>
        <w:jc w:val="both"/>
        <w:rPr>
          <w:rFonts w:ascii="Arial" w:hAnsi="Arial"/>
          <w:lang w:val="en-GB"/>
        </w:rPr>
      </w:pPr>
      <w:r w:rsidRPr="00864AB6">
        <w:rPr>
          <w:rFonts w:ascii="Arial" w:hAnsi="Arial"/>
          <w:lang w:val="en-GB"/>
        </w:rPr>
        <w:t>ensuring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that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multidimensional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nature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SDG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Target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16.3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is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addressed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consistently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across</w:t>
      </w:r>
      <w:r w:rsidR="000E2DE9">
        <w:rPr>
          <w:rFonts w:ascii="Arial" w:hAnsi="Arial"/>
          <w:lang w:val="en-GB"/>
        </w:rPr>
        <w:t xml:space="preserve"> </w:t>
      </w:r>
      <w:r w:rsidR="0063089D" w:rsidRPr="00864AB6">
        <w:rPr>
          <w:rFonts w:ascii="Arial" w:hAnsi="Arial"/>
          <w:lang w:val="en-GB"/>
        </w:rPr>
        <w:t>co-o</w:t>
      </w:r>
      <w:r w:rsidRPr="00864AB6">
        <w:rPr>
          <w:rFonts w:ascii="Arial" w:hAnsi="Arial"/>
          <w:lang w:val="en-GB"/>
        </w:rPr>
        <w:t>perative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undertakings</w:t>
      </w:r>
      <w:r w:rsidR="000E2DE9">
        <w:rPr>
          <w:rFonts w:ascii="Arial" w:hAnsi="Arial"/>
          <w:lang w:val="en-GB"/>
        </w:rPr>
        <w:t xml:space="preserve"> </w:t>
      </w:r>
      <w:r w:rsidR="00562B89" w:rsidRPr="00864AB6">
        <w:rPr>
          <w:rFonts w:ascii="Arial" w:hAnsi="Arial"/>
          <w:lang w:val="en-GB"/>
        </w:rPr>
        <w:t>(Osifo</w:t>
      </w:r>
      <w:r w:rsidR="000E2DE9">
        <w:rPr>
          <w:rFonts w:ascii="Arial" w:hAnsi="Arial"/>
          <w:lang w:val="en-GB"/>
        </w:rPr>
        <w:t xml:space="preserve"> </w:t>
      </w:r>
      <w:r w:rsidR="00562B89" w:rsidRPr="00864AB6">
        <w:rPr>
          <w:rFonts w:ascii="Arial" w:hAnsi="Arial"/>
          <w:lang w:val="en-GB"/>
        </w:rPr>
        <w:t>et</w:t>
      </w:r>
      <w:r w:rsidR="000E2DE9">
        <w:rPr>
          <w:rFonts w:ascii="Arial" w:hAnsi="Arial"/>
          <w:lang w:val="en-GB"/>
        </w:rPr>
        <w:t xml:space="preserve"> </w:t>
      </w:r>
      <w:r w:rsidR="00562B89" w:rsidRPr="00864AB6">
        <w:rPr>
          <w:rFonts w:ascii="Arial" w:hAnsi="Arial"/>
          <w:lang w:val="en-GB"/>
        </w:rPr>
        <w:t>al.,</w:t>
      </w:r>
      <w:r w:rsidR="000E2DE9">
        <w:rPr>
          <w:rFonts w:ascii="Arial" w:hAnsi="Arial"/>
          <w:lang w:val="en-GB"/>
        </w:rPr>
        <w:t xml:space="preserve"> </w:t>
      </w:r>
      <w:r w:rsidR="00562B89" w:rsidRPr="00864AB6">
        <w:rPr>
          <w:rFonts w:ascii="Arial" w:hAnsi="Arial"/>
          <w:lang w:val="en-GB"/>
        </w:rPr>
        <w:t>2025)</w:t>
      </w:r>
      <w:r w:rsidRPr="00864AB6">
        <w:rPr>
          <w:rFonts w:ascii="Arial" w:hAnsi="Arial"/>
          <w:lang w:val="en-GB"/>
        </w:rPr>
        <w:t>.</w:t>
      </w:r>
    </w:p>
    <w:p w14:paraId="7C8755A0" w14:textId="6EEDE67C" w:rsidR="003A0B60" w:rsidRPr="00904CDF" w:rsidRDefault="009E39C1" w:rsidP="00AF57A1">
      <w:pPr>
        <w:spacing w:before="240" w:after="240" w:line="240" w:lineRule="auto"/>
        <w:ind w:firstLine="357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highest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level,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governments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could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commit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working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harmony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international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regional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levels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progress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towards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SDG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Target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16.3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access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justice;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reaffirm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their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support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open-market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trading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system,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including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rule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law;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underscore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importance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investment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growth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(Jebarah</w:t>
      </w:r>
      <w:r w:rsidR="000E2DE9">
        <w:rPr>
          <w:rFonts w:ascii="Arial" w:hAnsi="Arial"/>
          <w:lang w:val="en-GB"/>
        </w:rPr>
        <w:t xml:space="preserve"> </w:t>
      </w:r>
      <w:r w:rsidR="00562B89" w:rsidRPr="0038778D">
        <w:rPr>
          <w:rFonts w:ascii="Arial" w:hAnsi="Arial"/>
          <w:i/>
          <w:lang w:val="en-GB"/>
        </w:rPr>
        <w:t>et</w:t>
      </w:r>
      <w:r w:rsidR="000E2DE9">
        <w:rPr>
          <w:rFonts w:ascii="Arial" w:hAnsi="Arial"/>
          <w:i/>
          <w:lang w:val="en-GB"/>
        </w:rPr>
        <w:t xml:space="preserve"> </w:t>
      </w:r>
      <w:r w:rsidR="00562B89" w:rsidRPr="0038778D">
        <w:rPr>
          <w:rFonts w:ascii="Arial" w:hAnsi="Arial"/>
          <w:i/>
          <w:lang w:val="en-GB"/>
        </w:rPr>
        <w:t>al</w:t>
      </w:r>
      <w:r w:rsidR="00562B89">
        <w:rPr>
          <w:rFonts w:ascii="Arial" w:hAnsi="Arial"/>
          <w:lang w:val="en-GB"/>
        </w:rPr>
        <w:t>.,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2025)</w:t>
      </w:r>
      <w:r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simple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framework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mutually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supportive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arrangements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would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allow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each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country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pursue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own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objectives,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based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domestic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priorities.</w:t>
      </w:r>
    </w:p>
    <w:p w14:paraId="6EECE6B7" w14:textId="67723FBB" w:rsidR="003A0B60" w:rsidRPr="00AF57A1" w:rsidRDefault="009E39C1" w:rsidP="00AF57A1">
      <w:pPr>
        <w:pStyle w:val="Heading3"/>
        <w:spacing w:before="240" w:after="120" w:line="240" w:lineRule="auto"/>
        <w:jc w:val="both"/>
        <w:rPr>
          <w:rFonts w:ascii="Arial" w:hAnsi="Arial"/>
          <w:color w:val="auto"/>
          <w:lang w:val="en-GB"/>
        </w:rPr>
      </w:pPr>
      <w:r w:rsidRPr="00AF57A1">
        <w:rPr>
          <w:rFonts w:ascii="Arial" w:hAnsi="Arial"/>
          <w:color w:val="auto"/>
          <w:lang w:val="en-GB"/>
        </w:rPr>
        <w:t>Monitoring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and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Evaluation</w:t>
      </w:r>
      <w:r w:rsidR="000E2DE9">
        <w:rPr>
          <w:rFonts w:ascii="Arial" w:hAnsi="Arial"/>
          <w:color w:val="auto"/>
          <w:lang w:val="en-GB"/>
        </w:rPr>
        <w:t xml:space="preserve"> </w:t>
      </w:r>
      <w:r w:rsidRPr="00AF57A1">
        <w:rPr>
          <w:rFonts w:ascii="Arial" w:hAnsi="Arial"/>
          <w:color w:val="auto"/>
          <w:lang w:val="en-GB"/>
        </w:rPr>
        <w:t>Frameworks</w:t>
      </w:r>
    </w:p>
    <w:p w14:paraId="115BE39C" w14:textId="346D00F6" w:rsidR="003A0B60" w:rsidRPr="00904CDF" w:rsidRDefault="009E39C1" w:rsidP="00AF57A1">
      <w:pPr>
        <w:spacing w:before="12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monitoring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evaluation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(M&amp;E)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frameworks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gauge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progress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toward</w:t>
      </w:r>
      <w:r w:rsidR="00864AB6">
        <w:rPr>
          <w:rFonts w:ascii="Arial" w:hAnsi="Arial"/>
          <w:lang w:val="en-GB"/>
        </w:rPr>
        <w:t>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integrated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global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objectives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ensure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delivery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national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commitments.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Such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frameworks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influence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project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investments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accountability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countries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committed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international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climate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agreements.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Appropriate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targets,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measurable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indicators,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periodic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reviews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policy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priorit</w:t>
      </w:r>
      <w:r w:rsidR="0063089D">
        <w:rPr>
          <w:rFonts w:ascii="Arial" w:hAnsi="Arial"/>
          <w:lang w:val="en-GB"/>
        </w:rPr>
        <w:t>is</w:t>
      </w:r>
      <w:r w:rsidRPr="00904CDF">
        <w:rPr>
          <w:rFonts w:ascii="Arial" w:hAnsi="Arial"/>
          <w:lang w:val="en-GB"/>
        </w:rPr>
        <w:t>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resource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allocation,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signal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adherence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levels,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guide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long-term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initiatives,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inform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regional</w:t>
      </w:r>
      <w:r w:rsidR="000E2DE9">
        <w:rPr>
          <w:rFonts w:ascii="Arial" w:hAnsi="Arial"/>
          <w:lang w:val="en-GB"/>
        </w:rPr>
        <w:t xml:space="preserve"> </w:t>
      </w:r>
      <w:r w:rsidR="0063089D">
        <w:rPr>
          <w:rFonts w:ascii="Arial" w:hAnsi="Arial"/>
          <w:lang w:val="en-GB"/>
        </w:rPr>
        <w:t>co-o</w:t>
      </w:r>
      <w:r w:rsidRPr="00904CDF">
        <w:rPr>
          <w:rFonts w:ascii="Arial" w:hAnsi="Arial"/>
          <w:lang w:val="en-GB"/>
        </w:rPr>
        <w:t>peration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(Kazanskaia,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2025)</w:t>
      </w:r>
      <w:r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Mapping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development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elements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enforceable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against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relevant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SDGs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facilitates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assessment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institutional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arrangements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within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comparative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perspectives</w:t>
      </w:r>
      <w:r w:rsidRPr="00904CDF">
        <w:rPr>
          <w:rFonts w:ascii="Arial" w:hAnsi="Arial"/>
          <w:lang w:val="en-GB"/>
        </w:rPr>
        <w:t>.</w:t>
      </w:r>
    </w:p>
    <w:p w14:paraId="0D378528" w14:textId="6619CF16" w:rsidR="003A0B60" w:rsidRPr="00904CDF" w:rsidRDefault="009E39C1" w:rsidP="00AF57A1">
      <w:pPr>
        <w:spacing w:before="240" w:after="240" w:line="240" w:lineRule="auto"/>
        <w:ind w:firstLine="357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specificity,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speed,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judicial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independence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affect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access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public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services,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influencing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infrastructure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investment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incentives.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Precise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specification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financial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terms,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recovery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periods,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participant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roles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enhances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attractiveness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PPPs</w:t>
      </w:r>
      <w:r w:rsidRPr="00904CDF">
        <w:rPr>
          <w:rFonts w:ascii="Arial" w:hAnsi="Arial"/>
          <w:lang w:val="en-GB"/>
        </w:rPr>
        <w:t>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Financial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flows,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project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viability,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performance-linked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tariffs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influence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electric-power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investments.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Articulating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enforceable-corporation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elements,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formali</w:t>
      </w:r>
      <w:r w:rsidR="002A2304" w:rsidRPr="00904CDF">
        <w:rPr>
          <w:rFonts w:ascii="Arial" w:hAnsi="Arial"/>
          <w:lang w:val="en-GB"/>
        </w:rPr>
        <w:t>sation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level,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regulatory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clarity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shapes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an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effective</w:t>
      </w:r>
      <w:r w:rsidR="000E2DE9">
        <w:rPr>
          <w:rFonts w:ascii="Arial" w:hAnsi="Arial"/>
          <w:lang w:val="en-GB"/>
        </w:rPr>
        <w:t xml:space="preserve"> </w:t>
      </w:r>
      <w:r w:rsidR="002A2304" w:rsidRPr="00904CDF">
        <w:rPr>
          <w:rFonts w:ascii="Arial" w:hAnsi="Arial"/>
          <w:lang w:val="en-GB"/>
        </w:rPr>
        <w:t>rallying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framework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guides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transparent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reforms.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directly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affect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wellbeing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transfers;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comparative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indices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gauge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alignment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Targets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16.3.1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16.3.3.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Specialisation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classification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facilitates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sector-target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alignment;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sustainable-energy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activities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align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Target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7.2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renewable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mobilisation.</w:t>
      </w:r>
    </w:p>
    <w:p w14:paraId="25FC0CD3" w14:textId="04134C0B" w:rsidR="003A0B60" w:rsidRPr="00AF57A1" w:rsidRDefault="00AF57A1" w:rsidP="00AF57A1">
      <w:pPr>
        <w:pStyle w:val="Heading2"/>
        <w:spacing w:before="240" w:after="240" w:line="240" w:lineRule="auto"/>
        <w:jc w:val="both"/>
        <w:rPr>
          <w:rFonts w:ascii="Arial" w:hAnsi="Arial"/>
          <w:color w:val="FF0000"/>
          <w:sz w:val="22"/>
          <w:lang w:val="en-GB"/>
        </w:rPr>
      </w:pPr>
      <w:r w:rsidRPr="00AF57A1">
        <w:rPr>
          <w:rFonts w:ascii="Arial" w:hAnsi="Arial"/>
          <w:color w:val="FF0000"/>
          <w:sz w:val="22"/>
          <w:lang w:val="en-GB"/>
        </w:rPr>
        <w:t>CONCLUSION</w:t>
      </w:r>
      <w:r w:rsidR="00864AB6">
        <w:rPr>
          <w:rFonts w:ascii="Arial" w:hAnsi="Arial"/>
          <w:color w:val="FF0000"/>
          <w:sz w:val="22"/>
          <w:lang w:val="en-GB"/>
        </w:rPr>
        <w:t>S</w:t>
      </w:r>
    </w:p>
    <w:p w14:paraId="5184C475" w14:textId="1CEC8CE3" w:rsidR="00745BDE" w:rsidRPr="00904CDF" w:rsidRDefault="009E39C1" w:rsidP="00AF57A1">
      <w:pPr>
        <w:spacing w:before="240" w:after="240" w:line="240" w:lineRule="auto"/>
        <w:jc w:val="both"/>
        <w:rPr>
          <w:rFonts w:ascii="Arial" w:hAnsi="Arial"/>
          <w:lang w:val="en-GB"/>
        </w:rPr>
      </w:pPr>
      <w:r w:rsidRPr="00904CDF">
        <w:rPr>
          <w:rFonts w:ascii="Arial" w:hAnsi="Arial"/>
          <w:lang w:val="en-GB"/>
        </w:rPr>
        <w:t>Enforceable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underpin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While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SDGs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acknowledge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predictable,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priority,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reform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generally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isolated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from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commitments.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This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neglect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stems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from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fragmented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understanding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sustainable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development,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inadequate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norms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enforceability,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limited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data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contractual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determinants,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obstacles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to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reviewing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frameworks</w:t>
      </w:r>
      <w:r w:rsidR="00864AB6">
        <w:rPr>
          <w:rFonts w:ascii="Arial" w:hAnsi="Arial"/>
          <w:lang w:val="en-GB"/>
        </w:rPr>
        <w:t>:</w:t>
      </w:r>
      <w:r w:rsidR="000E2DE9">
        <w:rPr>
          <w:rFonts w:ascii="Arial" w:hAnsi="Arial"/>
          <w:lang w:val="en-GB"/>
        </w:rPr>
        <w:t xml:space="preserve"> </w:t>
      </w:r>
      <w:r w:rsidR="00864AB6" w:rsidRPr="00904CDF">
        <w:rPr>
          <w:rFonts w:ascii="Arial" w:hAnsi="Arial"/>
          <w:lang w:val="en-GB"/>
        </w:rPr>
        <w:t>aligning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institutional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reform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frameworks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indicators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Targets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8.1,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9.5,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16.3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addresses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this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challenge.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Baseline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assessments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administrative,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regulatory,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judicial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dimensions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inform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relevant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policy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options.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reforms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ensure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congruence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between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investment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904CDF">
        <w:rPr>
          <w:rFonts w:ascii="Arial" w:hAnsi="Arial"/>
          <w:lang w:val="en-GB"/>
        </w:rPr>
        <w:t>sustainability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(Krauss</w:t>
      </w:r>
      <w:r w:rsidR="000E2DE9">
        <w:rPr>
          <w:rFonts w:ascii="Arial" w:hAnsi="Arial"/>
          <w:lang w:val="en-GB"/>
        </w:rPr>
        <w:t xml:space="preserve"> </w:t>
      </w:r>
      <w:r w:rsidR="00562B89" w:rsidRPr="0038778D">
        <w:rPr>
          <w:rFonts w:ascii="Arial" w:hAnsi="Arial"/>
          <w:i/>
          <w:lang w:val="en-GB"/>
        </w:rPr>
        <w:t>et</w:t>
      </w:r>
      <w:r w:rsidR="000E2DE9">
        <w:rPr>
          <w:rFonts w:ascii="Arial" w:hAnsi="Arial"/>
          <w:i/>
          <w:lang w:val="en-GB"/>
        </w:rPr>
        <w:t xml:space="preserve"> </w:t>
      </w:r>
      <w:r w:rsidR="00562B89" w:rsidRPr="0038778D">
        <w:rPr>
          <w:rFonts w:ascii="Arial" w:hAnsi="Arial"/>
          <w:i/>
          <w:lang w:val="en-GB"/>
        </w:rPr>
        <w:t>al</w:t>
      </w:r>
      <w:r w:rsidR="00562B89">
        <w:rPr>
          <w:rFonts w:ascii="Arial" w:hAnsi="Arial"/>
          <w:lang w:val="en-GB"/>
        </w:rPr>
        <w:t>.,</w:t>
      </w:r>
      <w:r w:rsidR="000E2DE9">
        <w:rPr>
          <w:rFonts w:ascii="Arial" w:hAnsi="Arial"/>
          <w:lang w:val="en-GB"/>
        </w:rPr>
        <w:t xml:space="preserve"> </w:t>
      </w:r>
      <w:r w:rsidR="00562B89">
        <w:rPr>
          <w:rFonts w:ascii="Arial" w:hAnsi="Arial"/>
          <w:lang w:val="en-GB"/>
        </w:rPr>
        <w:t>2022)</w:t>
      </w:r>
      <w:r w:rsidRPr="00904CDF">
        <w:rPr>
          <w:rFonts w:ascii="Arial" w:hAnsi="Arial"/>
          <w:lang w:val="en-GB"/>
        </w:rPr>
        <w:t>.</w:t>
      </w:r>
    </w:p>
    <w:p w14:paraId="3AC1553E" w14:textId="6E2F0BDC" w:rsidR="00F4669F" w:rsidRPr="00AF57A1" w:rsidRDefault="00AF57A1" w:rsidP="00AF57A1">
      <w:pPr>
        <w:spacing w:before="240" w:after="120" w:line="240" w:lineRule="auto"/>
        <w:jc w:val="both"/>
        <w:rPr>
          <w:rFonts w:ascii="Arial" w:eastAsia="Calibri" w:hAnsi="Arial" w:cstheme="majorHAnsi"/>
          <w:b/>
          <w:color w:val="FF0000"/>
          <w:szCs w:val="36"/>
          <w:lang w:val="en-GB" w:bidi="ar-EG"/>
        </w:rPr>
      </w:pPr>
      <w:r w:rsidRPr="00AF57A1">
        <w:rPr>
          <w:rFonts w:ascii="Arial" w:eastAsia="Calibri" w:hAnsi="Arial" w:cstheme="majorHAnsi"/>
          <w:b/>
          <w:color w:val="FF0000"/>
          <w:szCs w:val="36"/>
          <w:lang w:val="en-GB" w:bidi="ar-EG"/>
        </w:rPr>
        <w:t>DECLARATIONS</w:t>
      </w:r>
      <w:r w:rsidR="000E2DE9">
        <w:rPr>
          <w:rFonts w:ascii="Arial" w:eastAsia="Calibri" w:hAnsi="Arial" w:cstheme="majorHAnsi"/>
          <w:b/>
          <w:color w:val="FF0000"/>
          <w:szCs w:val="36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b/>
          <w:color w:val="FF0000"/>
          <w:szCs w:val="36"/>
          <w:lang w:val="en-GB" w:bidi="ar-EG"/>
        </w:rPr>
        <w:t>AND</w:t>
      </w:r>
      <w:r w:rsidR="000E2DE9">
        <w:rPr>
          <w:rFonts w:ascii="Arial" w:eastAsia="Calibri" w:hAnsi="Arial" w:cstheme="majorHAnsi"/>
          <w:b/>
          <w:color w:val="FF0000"/>
          <w:szCs w:val="36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b/>
          <w:color w:val="FF0000"/>
          <w:szCs w:val="36"/>
          <w:lang w:val="en-GB" w:bidi="ar-EG"/>
        </w:rPr>
        <w:t>ACKNOWLEDGEMENTS</w:t>
      </w:r>
    </w:p>
    <w:p w14:paraId="25EFF029" w14:textId="6007505D" w:rsidR="00F4669F" w:rsidRPr="00AF57A1" w:rsidRDefault="00F4669F" w:rsidP="00904CDF">
      <w:pPr>
        <w:spacing w:after="0" w:line="240" w:lineRule="auto"/>
        <w:jc w:val="both"/>
        <w:rPr>
          <w:rFonts w:ascii="Arial" w:eastAsia="Calibri" w:hAnsi="Arial" w:cstheme="majorHAnsi"/>
          <w:szCs w:val="24"/>
          <w:lang w:val="en-GB" w:bidi="ar-EG"/>
        </w:rPr>
      </w:pPr>
      <w:r w:rsidRPr="00AF57A1">
        <w:rPr>
          <w:rFonts w:ascii="Arial" w:eastAsia="Calibri" w:hAnsi="Arial" w:cstheme="majorHAnsi"/>
          <w:b/>
          <w:szCs w:val="28"/>
          <w:lang w:val="en-GB" w:bidi="ar-EG"/>
        </w:rPr>
        <w:lastRenderedPageBreak/>
        <w:t>Funding</w:t>
      </w:r>
      <w:r w:rsidR="00C714F4" w:rsidRPr="00AF57A1">
        <w:rPr>
          <w:rFonts w:ascii="Arial" w:eastAsia="Calibri" w:hAnsi="Arial" w:cstheme="majorHAnsi"/>
          <w:b/>
          <w:szCs w:val="28"/>
          <w:lang w:val="en-GB" w:bidi="ar-EG"/>
        </w:rPr>
        <w:t>:</w:t>
      </w:r>
      <w:r w:rsidR="000E2DE9">
        <w:rPr>
          <w:rFonts w:ascii="Arial" w:eastAsia="Calibri" w:hAnsi="Arial" w:cstheme="majorHAnsi"/>
          <w:szCs w:val="28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No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funding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sources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are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reported</w:t>
      </w:r>
    </w:p>
    <w:p w14:paraId="00DD170F" w14:textId="58824E37" w:rsidR="00F4669F" w:rsidRPr="00AF57A1" w:rsidRDefault="00F4669F" w:rsidP="00904CDF">
      <w:pPr>
        <w:spacing w:after="0" w:line="240" w:lineRule="auto"/>
        <w:jc w:val="both"/>
        <w:rPr>
          <w:rFonts w:ascii="Arial" w:eastAsia="Calibri" w:hAnsi="Arial" w:cstheme="majorHAnsi"/>
          <w:szCs w:val="24"/>
          <w:lang w:val="en-GB" w:bidi="ar-EG"/>
        </w:rPr>
      </w:pPr>
      <w:r w:rsidRPr="00AF57A1">
        <w:rPr>
          <w:rFonts w:ascii="Arial" w:eastAsia="Calibri" w:hAnsi="Arial" w:cstheme="majorHAnsi"/>
          <w:b/>
          <w:szCs w:val="28"/>
          <w:lang w:val="en-GB" w:bidi="ar-EG"/>
        </w:rPr>
        <w:t>Ethical</w:t>
      </w:r>
      <w:r w:rsidR="000E2DE9">
        <w:rPr>
          <w:rFonts w:ascii="Arial" w:eastAsia="Calibri" w:hAnsi="Arial" w:cstheme="majorHAnsi"/>
          <w:b/>
          <w:szCs w:val="28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b/>
          <w:szCs w:val="28"/>
          <w:lang w:val="en-GB" w:bidi="ar-EG"/>
        </w:rPr>
        <w:t>Approval</w:t>
      </w:r>
      <w:r w:rsidR="000E2DE9">
        <w:rPr>
          <w:rFonts w:ascii="Arial" w:eastAsia="Calibri" w:hAnsi="Arial" w:cstheme="majorHAnsi"/>
          <w:szCs w:val="28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Not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applicable</w:t>
      </w:r>
    </w:p>
    <w:p w14:paraId="3CCA5CD6" w14:textId="0354CD8F" w:rsidR="00F4669F" w:rsidRPr="00AF57A1" w:rsidRDefault="00F4669F" w:rsidP="00904CDF">
      <w:pPr>
        <w:spacing w:after="0" w:line="240" w:lineRule="auto"/>
        <w:jc w:val="both"/>
        <w:rPr>
          <w:rFonts w:ascii="Arial" w:eastAsia="Calibri" w:hAnsi="Arial" w:cstheme="majorHAnsi"/>
          <w:szCs w:val="24"/>
          <w:lang w:val="en-GB" w:bidi="ar-EG"/>
        </w:rPr>
      </w:pPr>
      <w:r w:rsidRPr="00AF57A1">
        <w:rPr>
          <w:rFonts w:ascii="Arial" w:eastAsia="Calibri" w:hAnsi="Arial" w:cstheme="majorHAnsi"/>
          <w:b/>
          <w:szCs w:val="28"/>
          <w:lang w:val="en-GB" w:bidi="ar-EG"/>
        </w:rPr>
        <w:t>Conflict</w:t>
      </w:r>
      <w:r w:rsidR="000E2DE9">
        <w:rPr>
          <w:rFonts w:ascii="Arial" w:eastAsia="Calibri" w:hAnsi="Arial" w:cstheme="majorHAnsi"/>
          <w:b/>
          <w:szCs w:val="28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b/>
          <w:szCs w:val="28"/>
          <w:lang w:val="en-GB" w:bidi="ar-EG"/>
        </w:rPr>
        <w:t>of</w:t>
      </w:r>
      <w:r w:rsidR="000E2DE9">
        <w:rPr>
          <w:rFonts w:ascii="Arial" w:eastAsia="Calibri" w:hAnsi="Arial" w:cstheme="majorHAnsi"/>
          <w:b/>
          <w:szCs w:val="28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b/>
          <w:szCs w:val="28"/>
          <w:lang w:val="en-GB" w:bidi="ar-EG"/>
        </w:rPr>
        <w:t>interest</w:t>
      </w:r>
      <w:r w:rsidR="00C714F4" w:rsidRPr="00AF57A1">
        <w:rPr>
          <w:rFonts w:ascii="Arial" w:eastAsia="Calibri" w:hAnsi="Arial" w:cstheme="majorHAnsi"/>
          <w:szCs w:val="28"/>
          <w:lang w:val="en-GB" w:bidi="ar-EG"/>
        </w:rPr>
        <w:t>:</w:t>
      </w:r>
      <w:r w:rsidR="000E2DE9">
        <w:rPr>
          <w:rFonts w:ascii="Arial" w:eastAsia="Calibri" w:hAnsi="Arial" w:cstheme="majorHAnsi"/>
          <w:szCs w:val="28"/>
          <w:lang w:val="en-GB" w:bidi="ar-EG"/>
        </w:rPr>
        <w:t xml:space="preserve"> </w:t>
      </w:r>
      <w:r w:rsidR="00C714F4" w:rsidRPr="00AF57A1">
        <w:rPr>
          <w:rFonts w:ascii="Arial" w:eastAsia="Calibri" w:hAnsi="Arial" w:cstheme="majorHAnsi"/>
          <w:szCs w:val="24"/>
          <w:lang w:val="en-GB" w:bidi="ar-EG"/>
        </w:rPr>
        <w:t>The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="00C714F4" w:rsidRPr="00AF57A1">
        <w:rPr>
          <w:rFonts w:ascii="Arial" w:eastAsia="Calibri" w:hAnsi="Arial" w:cstheme="majorHAnsi"/>
          <w:szCs w:val="24"/>
          <w:lang w:val="en-GB" w:bidi="ar-EG"/>
        </w:rPr>
        <w:t>a</w:t>
      </w:r>
      <w:r w:rsidRPr="00AF57A1">
        <w:rPr>
          <w:rFonts w:ascii="Arial" w:eastAsia="Calibri" w:hAnsi="Arial" w:cstheme="majorHAnsi"/>
          <w:szCs w:val="24"/>
          <w:lang w:val="en-GB" w:bidi="ar-EG"/>
        </w:rPr>
        <w:t>uthor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does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not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have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any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conflict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of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interest.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</w:p>
    <w:p w14:paraId="3A585509" w14:textId="7665C921" w:rsidR="00F4669F" w:rsidRPr="00AF57A1" w:rsidRDefault="00F4669F" w:rsidP="00904CDF">
      <w:pPr>
        <w:spacing w:after="0" w:line="240" w:lineRule="auto"/>
        <w:jc w:val="both"/>
        <w:rPr>
          <w:rFonts w:ascii="Arial" w:eastAsia="Calibri" w:hAnsi="Arial" w:cstheme="majorHAnsi"/>
          <w:szCs w:val="24"/>
          <w:lang w:val="en-GB" w:bidi="ar-EG"/>
        </w:rPr>
      </w:pPr>
      <w:r w:rsidRPr="00AF57A1">
        <w:rPr>
          <w:rFonts w:ascii="Arial" w:eastAsia="Calibri" w:hAnsi="Arial" w:cstheme="majorHAnsi"/>
          <w:b/>
          <w:szCs w:val="28"/>
          <w:lang w:val="en-GB" w:bidi="ar-EG"/>
        </w:rPr>
        <w:t>Data</w:t>
      </w:r>
      <w:r w:rsidR="000E2DE9">
        <w:rPr>
          <w:rFonts w:ascii="Arial" w:eastAsia="Calibri" w:hAnsi="Arial" w:cstheme="majorHAnsi"/>
          <w:b/>
          <w:szCs w:val="28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b/>
          <w:szCs w:val="28"/>
          <w:lang w:val="en-GB" w:bidi="ar-EG"/>
        </w:rPr>
        <w:t>availability</w:t>
      </w:r>
      <w:r w:rsidR="000E2DE9">
        <w:rPr>
          <w:rFonts w:ascii="Arial" w:eastAsia="Calibri" w:hAnsi="Arial" w:cstheme="majorHAnsi"/>
          <w:b/>
          <w:szCs w:val="28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b/>
          <w:szCs w:val="28"/>
          <w:lang w:val="en-GB" w:bidi="ar-EG"/>
        </w:rPr>
        <w:t>statement</w:t>
      </w:r>
      <w:r w:rsidR="00C714F4" w:rsidRPr="00AF57A1">
        <w:rPr>
          <w:rFonts w:ascii="Arial" w:eastAsia="Calibri" w:hAnsi="Arial" w:cstheme="majorHAnsi"/>
          <w:b/>
          <w:szCs w:val="28"/>
          <w:lang w:val="en-GB" w:bidi="ar-EG"/>
        </w:rPr>
        <w:t>: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Not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applicable</w:t>
      </w:r>
    </w:p>
    <w:p w14:paraId="69C310A9" w14:textId="0FE78793" w:rsidR="00F4669F" w:rsidRPr="00AF57A1" w:rsidRDefault="00F4669F" w:rsidP="00904CDF">
      <w:pPr>
        <w:spacing w:after="0" w:line="240" w:lineRule="auto"/>
        <w:jc w:val="both"/>
        <w:rPr>
          <w:rFonts w:ascii="Arial" w:eastAsia="Calibri" w:hAnsi="Arial" w:cstheme="majorHAnsi"/>
          <w:szCs w:val="24"/>
          <w:lang w:val="en-GB" w:bidi="ar-EG"/>
        </w:rPr>
      </w:pPr>
      <w:r w:rsidRPr="00AF57A1">
        <w:rPr>
          <w:rFonts w:ascii="Arial" w:eastAsia="Calibri" w:hAnsi="Arial" w:cstheme="majorHAnsi"/>
          <w:b/>
          <w:szCs w:val="28"/>
          <w:lang w:val="en-GB" w:bidi="ar-EG"/>
        </w:rPr>
        <w:t>Author</w:t>
      </w:r>
      <w:r w:rsidR="000E2DE9">
        <w:rPr>
          <w:rFonts w:ascii="Arial" w:eastAsia="Calibri" w:hAnsi="Arial" w:cstheme="majorHAnsi"/>
          <w:b/>
          <w:szCs w:val="28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b/>
          <w:szCs w:val="28"/>
          <w:lang w:val="en-GB" w:bidi="ar-EG"/>
        </w:rPr>
        <w:t>Contributions</w:t>
      </w:r>
      <w:r w:rsidR="000E2DE9">
        <w:rPr>
          <w:rFonts w:ascii="Arial" w:eastAsia="Calibri" w:hAnsi="Arial" w:cstheme="majorHAnsi"/>
          <w:szCs w:val="28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The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author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has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contributed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to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writing,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designing,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compiling,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and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editing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the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final</w:t>
      </w:r>
      <w:r w:rsidR="000E2DE9">
        <w:rPr>
          <w:rFonts w:ascii="Arial" w:eastAsia="Calibri" w:hAnsi="Arial" w:cstheme="majorHAnsi"/>
          <w:szCs w:val="24"/>
          <w:lang w:val="en-GB" w:bidi="ar-EG"/>
        </w:rPr>
        <w:t xml:space="preserve"> </w:t>
      </w:r>
      <w:r w:rsidRPr="00AF57A1">
        <w:rPr>
          <w:rFonts w:ascii="Arial" w:eastAsia="Calibri" w:hAnsi="Arial" w:cstheme="majorHAnsi"/>
          <w:szCs w:val="24"/>
          <w:lang w:val="en-GB" w:bidi="ar-EG"/>
        </w:rPr>
        <w:t>manuscript.</w:t>
      </w:r>
    </w:p>
    <w:p w14:paraId="287EF74E" w14:textId="448C186A" w:rsidR="0059763F" w:rsidRDefault="00AF57A1" w:rsidP="00AF57A1">
      <w:pPr>
        <w:spacing w:before="240" w:after="120" w:line="240" w:lineRule="auto"/>
        <w:rPr>
          <w:rFonts w:ascii="Arial" w:hAnsi="Arial" w:cstheme="majorHAnsi"/>
          <w:b/>
          <w:bCs/>
          <w:color w:val="FF0000"/>
          <w:szCs w:val="32"/>
          <w:lang w:val="en-GB"/>
        </w:rPr>
      </w:pPr>
      <w:r w:rsidRPr="00AF57A1">
        <w:rPr>
          <w:rFonts w:ascii="Arial" w:hAnsi="Arial" w:cstheme="majorHAnsi"/>
          <w:b/>
          <w:bCs/>
          <w:color w:val="FF0000"/>
          <w:szCs w:val="32"/>
          <w:lang w:val="en-GB"/>
        </w:rPr>
        <w:t>REFERENCES</w:t>
      </w:r>
    </w:p>
    <w:p w14:paraId="55711FBF" w14:textId="11918673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Abd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Aziz,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S.N.B.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Basir,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S.M.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(2018):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Sustainable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Development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Goals: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Legally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Realistic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or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Overambitious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Towards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the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Development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of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the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Nations?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Jurnal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Undang-undang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dan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Masyarakat</w:t>
      </w:r>
      <w:r w:rsidRPr="0038778D">
        <w:rPr>
          <w:rFonts w:ascii="Arial" w:hAnsi="Arial"/>
          <w:noProof w:val="0"/>
          <w:szCs w:val="24"/>
          <w:lang w:val="en-GB"/>
        </w:rPr>
        <w:t>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Vol.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23,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p.39.</w:t>
      </w:r>
    </w:p>
    <w:p w14:paraId="6FDBB734" w14:textId="0A75C3AA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Almarri,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K.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Boussabaine,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H.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(2025):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Critical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success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factors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for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public-private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partnerships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smart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city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infrastructure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projects.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Construction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Innovation</w:t>
      </w:r>
      <w:r w:rsidRPr="0038778D">
        <w:rPr>
          <w:rFonts w:ascii="Arial" w:hAnsi="Arial"/>
          <w:noProof w:val="0"/>
          <w:szCs w:val="24"/>
          <w:lang w:val="en-GB"/>
        </w:rPr>
        <w:t>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Vol.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25,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No.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2,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pp.224-247.</w:t>
      </w:r>
    </w:p>
    <w:p w14:paraId="5B103768" w14:textId="134D2400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ALsheyab,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M.S.A.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(2025):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Legal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analysis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of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the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merits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of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electronic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transferable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records: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toward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cross-border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trade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digitalization.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International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Journal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of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Law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and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Management</w:t>
      </w:r>
      <w:r w:rsidRPr="0038778D">
        <w:rPr>
          <w:rFonts w:ascii="Arial" w:hAnsi="Arial"/>
          <w:noProof w:val="0"/>
          <w:szCs w:val="24"/>
          <w:lang w:val="en-GB"/>
        </w:rPr>
        <w:t>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Vol.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67,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No.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1,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pp.145-63.</w:t>
      </w:r>
    </w:p>
    <w:p w14:paraId="182A71D1" w14:textId="55A43ACC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Baroncini,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Stefano,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Rubini,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L.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(2025):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New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Institutional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Architectures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and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Substantive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Rules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in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International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Economic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Law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–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The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EU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and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the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UN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Sustainable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Development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Goals</w:t>
      </w:r>
      <w:r w:rsidRPr="0038778D">
        <w:rPr>
          <w:rFonts w:ascii="Arial" w:hAnsi="Arial"/>
          <w:noProof w:val="0"/>
          <w:szCs w:val="24"/>
          <w:lang w:val="en-GB"/>
        </w:rPr>
        <w:t>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Bologna: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Dipartimento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di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scienze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giuridiche,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Universita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di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Bologna.</w:t>
      </w:r>
    </w:p>
    <w:p w14:paraId="2F5D1B05" w14:textId="7CC2BB2C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Bartram,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J.,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Brocklehurst,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Bradley,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Muller,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Evans,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B.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(2018):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Policy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review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of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the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means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of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implementation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targets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indicators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for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the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sustainable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development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goal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for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water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sanitation.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NPJ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Clean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Water</w:t>
      </w:r>
      <w:r w:rsidRPr="0038778D">
        <w:rPr>
          <w:rFonts w:ascii="Arial" w:hAnsi="Arial"/>
          <w:noProof w:val="0"/>
          <w:szCs w:val="24"/>
          <w:lang w:val="en-GB"/>
        </w:rPr>
        <w:t>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Vol.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1,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No.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1,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p.3.</w:t>
      </w:r>
    </w:p>
    <w:p w14:paraId="21E25C38" w14:textId="32F97413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Berrone,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Ricart,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J.E.,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Duch,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A.I.,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Bernardo,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V.,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Salvador,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J.,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Piedra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Peña,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J.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Rodriguez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Planas,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(2019):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EASIER: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evaluation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model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for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public-private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partnerships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contributing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to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the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sustainable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development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goals.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Sustainability</w:t>
      </w:r>
      <w:r w:rsidRPr="0038778D">
        <w:rPr>
          <w:rFonts w:ascii="Arial" w:hAnsi="Arial"/>
          <w:noProof w:val="0"/>
          <w:szCs w:val="24"/>
          <w:lang w:val="en-GB"/>
        </w:rPr>
        <w:t>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Vol.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11,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No.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8,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p.2339.</w:t>
      </w:r>
    </w:p>
    <w:p w14:paraId="03F89C2D" w14:textId="06996CDE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Caldwell,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Jamali,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(2025):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Goal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16: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peace,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justice,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sustainable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institutions.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Caldwell,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Anderson,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V.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Jamali,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(Eds):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Pathways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and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Barriers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to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Achieving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the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UN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Sustainable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Development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Goals</w:t>
      </w:r>
      <w:r w:rsidRPr="0038778D">
        <w:rPr>
          <w:rFonts w:ascii="Arial" w:hAnsi="Arial"/>
          <w:noProof w:val="0"/>
          <w:szCs w:val="24"/>
          <w:lang w:val="en-GB"/>
        </w:rPr>
        <w:t>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Progress,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Stagnation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and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Regression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(pp.190-202).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Edward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Elgar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Publishing</w:t>
      </w:r>
    </w:p>
    <w:p w14:paraId="738C16ED" w14:textId="75CA2819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Carvalho,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Spataru,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(2018):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Advancing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the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implementation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of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SDGs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Brazil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by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integrating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water-energy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nexus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legal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principles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for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better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governance.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Sustainability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in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Environment</w:t>
      </w:r>
      <w:r w:rsidRPr="0038778D">
        <w:rPr>
          <w:rFonts w:ascii="Arial" w:hAnsi="Arial"/>
          <w:noProof w:val="0"/>
          <w:szCs w:val="24"/>
          <w:lang w:val="en-GB"/>
        </w:rPr>
        <w:t>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Vol.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3,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No.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3,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pp.277-304.</w:t>
      </w:r>
    </w:p>
    <w:p w14:paraId="60588538" w14:textId="573F0E19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Deb,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L.K.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Raj,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(2023):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Arbitration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strategies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for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resolving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climate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change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sustainability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disputes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commercial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transactions.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Indian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Review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of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International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Arbitration,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Vol.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3,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No.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2,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p.10.</w:t>
      </w:r>
    </w:p>
    <w:p w14:paraId="3EFBB0C0" w14:textId="6E62DC43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Du,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X.,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Zhang,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H.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Han,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Y.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(2022):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How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does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new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infrastructure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investment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affect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economic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growth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quality?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Empirical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evidence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from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China.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Sustainability</w:t>
      </w:r>
      <w:r w:rsidRPr="0038778D">
        <w:rPr>
          <w:rFonts w:ascii="Arial" w:hAnsi="Arial"/>
          <w:noProof w:val="0"/>
          <w:szCs w:val="24"/>
          <w:lang w:val="en-GB"/>
        </w:rPr>
        <w:t>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Vol.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14,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No.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6,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p.3511.</w:t>
      </w:r>
    </w:p>
    <w:p w14:paraId="58B895CF" w14:textId="0126F0BF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Hamdani,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Yafeh,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Y.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(2013):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Institutional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investors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minority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shareholders.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Review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of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Finance</w:t>
      </w:r>
      <w:r w:rsidRPr="0038778D">
        <w:rPr>
          <w:rFonts w:ascii="Arial" w:hAnsi="Arial"/>
          <w:noProof w:val="0"/>
          <w:szCs w:val="24"/>
          <w:lang w:val="en-GB"/>
        </w:rPr>
        <w:t>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Vol.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17,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No.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2,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pp.691-725.</w:t>
      </w:r>
    </w:p>
    <w:p w14:paraId="3C57FACB" w14:textId="3D361990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Heidari,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Hashemi,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Khorsand,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M.-S.,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Daneshfar,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Jazayerifar,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(2024):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Towards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standardized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regulations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for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block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chain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smart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contracts: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Insights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from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Delphi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SWARA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analysis.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arXiv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preprint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arXiv:2403.19051</w:t>
      </w:r>
      <w:r w:rsidRPr="0038778D">
        <w:rPr>
          <w:rFonts w:ascii="Arial" w:hAnsi="Arial"/>
          <w:noProof w:val="0"/>
          <w:szCs w:val="24"/>
          <w:lang w:val="en-GB"/>
        </w:rPr>
        <w:t>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</w:p>
    <w:p w14:paraId="163D1A5C" w14:textId="0BB337D1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Hickey,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G.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(2022):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The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Potential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of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Stakeholder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Engagement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to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Improve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Outcomes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of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Foreign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Investments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Renewable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Energy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Projects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Lower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Income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Countries.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CMC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Senior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Theses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3134</w:t>
      </w:r>
      <w:r w:rsidRPr="0038778D">
        <w:rPr>
          <w:rFonts w:ascii="Arial" w:hAnsi="Arial"/>
          <w:noProof w:val="0"/>
          <w:szCs w:val="24"/>
          <w:lang w:val="en-GB"/>
        </w:rPr>
        <w:t>.</w:t>
      </w:r>
    </w:p>
    <w:p w14:paraId="41290261" w14:textId="72B5949A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Jebarah,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S.A,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Jammaa,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M.H.,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Makhmari,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Snoussi,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Mamari,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S.A.,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Rashed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Osman,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A.Z.M.,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Wahab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Al-Masri,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M.A.,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Mohammad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Osman,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Y.H.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Khamis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Mazroui,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O.M.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lastRenderedPageBreak/>
        <w:t>(2025):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Legal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Accountability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Financial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Markets: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Advancing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SDG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16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Through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Strong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Institutions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the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Rule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of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Law.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Corporate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Law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&amp;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Governance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Review</w:t>
      </w:r>
      <w:r w:rsidRPr="0038778D">
        <w:rPr>
          <w:rFonts w:ascii="Arial" w:hAnsi="Arial"/>
          <w:noProof w:val="0"/>
          <w:szCs w:val="24"/>
          <w:lang w:val="en-GB"/>
        </w:rPr>
        <w:t>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Vol.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7,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No.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4.</w:t>
      </w:r>
    </w:p>
    <w:p w14:paraId="5D4D1D9A" w14:textId="38865F4C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Kazanskaia,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A.N.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(2025):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Monitoring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and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Evaluation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in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International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Development</w:t>
      </w:r>
      <w:r w:rsidRPr="0038778D">
        <w:rPr>
          <w:rFonts w:ascii="Arial" w:hAnsi="Arial"/>
          <w:noProof w:val="0"/>
          <w:szCs w:val="24"/>
          <w:lang w:val="en-GB"/>
        </w:rPr>
        <w:t>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Neya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Global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Publishing.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</w:p>
    <w:p w14:paraId="72757908" w14:textId="2B45055E" w:rsidR="0038778D" w:rsidRPr="0038778D" w:rsidRDefault="0038778D" w:rsidP="0038778D">
      <w:pPr>
        <w:spacing w:before="120" w:after="120" w:line="240" w:lineRule="auto"/>
        <w:ind w:left="357" w:hanging="357"/>
        <w:jc w:val="both"/>
        <w:rPr>
          <w:rFonts w:ascii="Arial" w:hAnsi="Arial"/>
          <w:szCs w:val="24"/>
          <w:lang w:val="en-GB"/>
        </w:rPr>
      </w:pPr>
      <w:r w:rsidRPr="0038778D">
        <w:rPr>
          <w:rFonts w:ascii="Arial" w:hAnsi="Arial"/>
          <w:szCs w:val="24"/>
          <w:lang w:val="en-GB"/>
        </w:rPr>
        <w:t>Krauss,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J.E.,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Jiménez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Cisneros,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A.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and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Requena-i-Mora,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M.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(2022):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Mapping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Sustainable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Development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Goals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8,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9,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12,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13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and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15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through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a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decolonial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lens: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falling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short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of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‘transforming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our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world’.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i/>
          <w:szCs w:val="24"/>
          <w:lang w:val="en-GB"/>
        </w:rPr>
        <w:t>Sustainability</w:t>
      </w:r>
      <w:r w:rsidR="000E2DE9">
        <w:rPr>
          <w:rFonts w:ascii="Arial" w:hAnsi="Arial"/>
          <w:i/>
          <w:szCs w:val="24"/>
          <w:lang w:val="en-GB"/>
        </w:rPr>
        <w:t xml:space="preserve"> </w:t>
      </w:r>
      <w:r w:rsidRPr="0038778D">
        <w:rPr>
          <w:rFonts w:ascii="Arial" w:hAnsi="Arial"/>
          <w:i/>
          <w:szCs w:val="24"/>
          <w:lang w:val="en-GB"/>
        </w:rPr>
        <w:t>Science</w:t>
      </w:r>
      <w:r w:rsidRPr="0038778D">
        <w:rPr>
          <w:rFonts w:ascii="Arial" w:hAnsi="Arial"/>
          <w:szCs w:val="24"/>
          <w:lang w:val="en-GB"/>
        </w:rPr>
        <w:t>,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Vol.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17,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No.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5,</w:t>
      </w:r>
      <w:r w:rsidR="000E2DE9">
        <w:rPr>
          <w:rFonts w:ascii="Arial" w:hAnsi="Arial"/>
          <w:szCs w:val="24"/>
          <w:lang w:val="en-GB"/>
        </w:rPr>
        <w:t xml:space="preserve"> </w:t>
      </w:r>
      <w:r w:rsidRPr="0038778D">
        <w:rPr>
          <w:rFonts w:ascii="Arial" w:hAnsi="Arial"/>
          <w:szCs w:val="24"/>
          <w:lang w:val="en-GB"/>
        </w:rPr>
        <w:t>pp.1855-1872.</w:t>
      </w:r>
    </w:p>
    <w:p w14:paraId="1FB10AD0" w14:textId="30035377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Le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Coq,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Bennato,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A.R.,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Duma,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Lazarczyk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(2025):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Flexibility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in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the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Energy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Sector</w:t>
      </w:r>
      <w:r w:rsidRPr="0038778D">
        <w:rPr>
          <w:rFonts w:ascii="Arial" w:hAnsi="Arial"/>
          <w:noProof w:val="0"/>
          <w:szCs w:val="24"/>
          <w:lang w:val="en-GB"/>
        </w:rPr>
        <w:t>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 w:cs="Arial"/>
          <w:iCs/>
          <w:color w:val="222222"/>
          <w:szCs w:val="20"/>
          <w:shd w:val="clear" w:color="auto" w:fill="FFFFFF"/>
        </w:rPr>
        <w:t>CERRE—Centre</w:t>
      </w:r>
      <w:r w:rsidR="000E2DE9">
        <w:rPr>
          <w:rFonts w:ascii="Arial" w:hAnsi="Arial" w:cs="Arial"/>
          <w:iCs/>
          <w:color w:val="222222"/>
          <w:szCs w:val="20"/>
          <w:shd w:val="clear" w:color="auto" w:fill="FFFFFF"/>
        </w:rPr>
        <w:t xml:space="preserve"> </w:t>
      </w:r>
      <w:r w:rsidRPr="0038778D">
        <w:rPr>
          <w:rFonts w:ascii="Arial" w:hAnsi="Arial" w:cs="Arial"/>
          <w:iCs/>
          <w:color w:val="222222"/>
          <w:szCs w:val="20"/>
          <w:shd w:val="clear" w:color="auto" w:fill="FFFFFF"/>
        </w:rPr>
        <w:t>on</w:t>
      </w:r>
      <w:r w:rsidR="000E2DE9">
        <w:rPr>
          <w:rFonts w:ascii="Arial" w:hAnsi="Arial" w:cs="Arial"/>
          <w:iCs/>
          <w:color w:val="222222"/>
          <w:szCs w:val="20"/>
          <w:shd w:val="clear" w:color="auto" w:fill="FFFFFF"/>
        </w:rPr>
        <w:t xml:space="preserve"> </w:t>
      </w:r>
      <w:r w:rsidRPr="0038778D">
        <w:rPr>
          <w:rFonts w:ascii="Arial" w:hAnsi="Arial" w:cs="Arial"/>
          <w:iCs/>
          <w:color w:val="222222"/>
          <w:szCs w:val="20"/>
          <w:shd w:val="clear" w:color="auto" w:fill="FFFFFF"/>
        </w:rPr>
        <w:t>Regulation</w:t>
      </w:r>
      <w:r w:rsidR="000E2DE9">
        <w:rPr>
          <w:rFonts w:ascii="Arial" w:hAnsi="Arial" w:cs="Arial"/>
          <w:iCs/>
          <w:color w:val="222222"/>
          <w:szCs w:val="20"/>
          <w:shd w:val="clear" w:color="auto" w:fill="FFFFFF"/>
        </w:rPr>
        <w:t xml:space="preserve"> </w:t>
      </w:r>
      <w:r w:rsidRPr="0038778D">
        <w:rPr>
          <w:rFonts w:ascii="Arial" w:hAnsi="Arial" w:cs="Arial"/>
          <w:iCs/>
          <w:color w:val="222222"/>
          <w:szCs w:val="20"/>
          <w:shd w:val="clear" w:color="auto" w:fill="FFFFFF"/>
        </w:rPr>
        <w:t>in</w:t>
      </w:r>
      <w:r w:rsidR="000E2DE9">
        <w:rPr>
          <w:rFonts w:ascii="Arial" w:hAnsi="Arial" w:cs="Arial"/>
          <w:iCs/>
          <w:color w:val="222222"/>
          <w:szCs w:val="20"/>
          <w:shd w:val="clear" w:color="auto" w:fill="FFFFFF"/>
        </w:rPr>
        <w:t xml:space="preserve"> </w:t>
      </w:r>
      <w:r w:rsidRPr="0038778D">
        <w:rPr>
          <w:rFonts w:ascii="Arial" w:hAnsi="Arial" w:cs="Arial"/>
          <w:iCs/>
          <w:color w:val="222222"/>
          <w:szCs w:val="20"/>
          <w:shd w:val="clear" w:color="auto" w:fill="FFFFFF"/>
        </w:rPr>
        <w:t>Europe:</w:t>
      </w:r>
      <w:r w:rsidR="000E2DE9">
        <w:rPr>
          <w:rFonts w:ascii="Arial" w:hAnsi="Arial" w:cs="Arial"/>
          <w:iCs/>
          <w:color w:val="222222"/>
          <w:szCs w:val="20"/>
          <w:shd w:val="clear" w:color="auto" w:fill="FFFFFF"/>
        </w:rPr>
        <w:t xml:space="preserve"> </w:t>
      </w:r>
      <w:r w:rsidRPr="0038778D">
        <w:rPr>
          <w:rFonts w:ascii="Arial" w:hAnsi="Arial" w:cs="Arial"/>
          <w:iCs/>
          <w:color w:val="222222"/>
          <w:szCs w:val="20"/>
          <w:shd w:val="clear" w:color="auto" w:fill="FFFFFF"/>
        </w:rPr>
        <w:t>Brussels,</w:t>
      </w:r>
      <w:r w:rsidR="000E2DE9">
        <w:rPr>
          <w:rFonts w:ascii="Arial" w:hAnsi="Arial" w:cs="Arial"/>
          <w:iCs/>
          <w:color w:val="222222"/>
          <w:szCs w:val="20"/>
          <w:shd w:val="clear" w:color="auto" w:fill="FFFFFF"/>
        </w:rPr>
        <w:t xml:space="preserve"> </w:t>
      </w:r>
      <w:r w:rsidRPr="0038778D">
        <w:rPr>
          <w:rFonts w:ascii="Arial" w:hAnsi="Arial" w:cs="Arial"/>
          <w:iCs/>
          <w:color w:val="222222"/>
          <w:szCs w:val="20"/>
          <w:shd w:val="clear" w:color="auto" w:fill="FFFFFF"/>
        </w:rPr>
        <w:t>Belgium</w:t>
      </w:r>
      <w:r w:rsidRPr="0038778D">
        <w:rPr>
          <w:rFonts w:ascii="Arial" w:hAnsi="Arial" w:cs="Arial"/>
          <w:color w:val="222222"/>
          <w:szCs w:val="20"/>
          <w:shd w:val="clear" w:color="auto" w:fill="FFFFFF"/>
        </w:rPr>
        <w:t>.</w:t>
      </w:r>
    </w:p>
    <w:p w14:paraId="65F89E68" w14:textId="2233C377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Lytvyn,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Onyshchenko,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Ostapenko,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(2023):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Economic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challenges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of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sustainable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development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goals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Ukraine.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Baltic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Journal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of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Economic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Studies</w:t>
      </w:r>
      <w:r w:rsidRPr="0038778D">
        <w:rPr>
          <w:rFonts w:ascii="Arial" w:hAnsi="Arial"/>
          <w:noProof w:val="0"/>
          <w:szCs w:val="24"/>
          <w:lang w:val="en-GB"/>
        </w:rPr>
        <w:t>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Vol.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9,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No.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1,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pp.100-112.</w:t>
      </w:r>
    </w:p>
    <w:p w14:paraId="0DE1FB9D" w14:textId="789326C3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Mansell,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Philbin,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S.P.,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Broyd,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Nicholson,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(Eds)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(2020):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Assessing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the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impact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of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infrastructure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projects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global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sustainable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development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goals.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Proceedings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of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the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Institution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of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Civil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Engineers-Engineering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Sustainability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(Vol.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173,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No.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4,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pp.196-212).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Thomas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Telford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Ltd.</w:t>
      </w:r>
    </w:p>
    <w:p w14:paraId="317E64DE" w14:textId="300752EF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Osifo,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E.O.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(2019):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Strategic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contract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oversight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for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sustainable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infrastructure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development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across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nationally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significant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construction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sectors.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International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Journal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of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Computer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Applications,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Technology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and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Research</w:t>
      </w:r>
      <w:r w:rsidRPr="0038778D">
        <w:rPr>
          <w:rFonts w:ascii="Arial" w:hAnsi="Arial"/>
          <w:noProof w:val="0"/>
          <w:szCs w:val="24"/>
          <w:lang w:val="en-GB"/>
        </w:rPr>
        <w:t>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pp.516-531.</w:t>
      </w:r>
    </w:p>
    <w:p w14:paraId="58F06047" w14:textId="636CC10C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Osifo,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E.O.,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Omumu,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E.S.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Alozie,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(2025):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Evolving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contractual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obligations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construction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law: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Implications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of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regulatory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changes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project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delivery.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World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Journal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of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Advanced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Research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and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Reviews</w:t>
      </w:r>
      <w:r w:rsidRPr="0038778D">
        <w:rPr>
          <w:rFonts w:ascii="Arial" w:hAnsi="Arial"/>
          <w:noProof w:val="0"/>
          <w:szCs w:val="24"/>
          <w:lang w:val="en-GB"/>
        </w:rPr>
        <w:t>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Vol.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25,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pp.1315-1333.</w:t>
      </w:r>
    </w:p>
    <w:p w14:paraId="18AA7683" w14:textId="6EEB9FC7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Ozili,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P.K.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(2023):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Using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central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bank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digital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currency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to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achieve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the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sustainable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development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goals.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 w:cs="Arial"/>
          <w:color w:val="222222"/>
          <w:szCs w:val="20"/>
          <w:shd w:val="clear" w:color="auto" w:fill="FFFFFF"/>
        </w:rPr>
        <w:t>Grima,</w:t>
      </w:r>
      <w:r w:rsidR="000E2DE9"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 w:rsidRPr="0038778D">
        <w:rPr>
          <w:rFonts w:ascii="Arial" w:hAnsi="Arial" w:cs="Arial"/>
          <w:color w:val="222222"/>
          <w:szCs w:val="20"/>
          <w:shd w:val="clear" w:color="auto" w:fill="FFFFFF"/>
        </w:rPr>
        <w:t>S.,</w:t>
      </w:r>
      <w:r w:rsidR="000E2DE9"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 w:rsidRPr="0038778D">
        <w:rPr>
          <w:rFonts w:ascii="Arial" w:hAnsi="Arial" w:cs="Arial"/>
          <w:color w:val="222222"/>
          <w:szCs w:val="20"/>
          <w:shd w:val="clear" w:color="auto" w:fill="FFFFFF"/>
        </w:rPr>
        <w:t>Thalassinos,</w:t>
      </w:r>
      <w:r w:rsidR="000E2DE9"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 w:rsidRPr="0038778D">
        <w:rPr>
          <w:rFonts w:ascii="Arial" w:hAnsi="Arial" w:cs="Arial"/>
          <w:color w:val="222222"/>
          <w:szCs w:val="20"/>
          <w:shd w:val="clear" w:color="auto" w:fill="FFFFFF"/>
        </w:rPr>
        <w:t>E.,</w:t>
      </w:r>
      <w:r w:rsidR="000E2DE9"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 w:rsidRPr="0038778D">
        <w:rPr>
          <w:rFonts w:ascii="Arial" w:hAnsi="Arial" w:cs="Arial"/>
          <w:color w:val="222222"/>
          <w:szCs w:val="20"/>
          <w:shd w:val="clear" w:color="auto" w:fill="FFFFFF"/>
        </w:rPr>
        <w:t>Cristea,</w:t>
      </w:r>
      <w:r w:rsidR="000E2DE9"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 w:rsidRPr="0038778D">
        <w:rPr>
          <w:rFonts w:ascii="Arial" w:hAnsi="Arial" w:cs="Arial"/>
          <w:color w:val="222222"/>
          <w:szCs w:val="20"/>
          <w:shd w:val="clear" w:color="auto" w:fill="FFFFFF"/>
        </w:rPr>
        <w:t>M.,</w:t>
      </w:r>
      <w:r w:rsidR="000E2DE9"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 w:rsidRPr="0038778D">
        <w:rPr>
          <w:rFonts w:ascii="Arial" w:hAnsi="Arial" w:cs="Arial"/>
          <w:color w:val="222222"/>
          <w:szCs w:val="20"/>
          <w:shd w:val="clear" w:color="auto" w:fill="FFFFFF"/>
        </w:rPr>
        <w:t>Kadłubek,</w:t>
      </w:r>
      <w:r w:rsidR="000E2DE9"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 w:rsidRPr="0038778D">
        <w:rPr>
          <w:rFonts w:ascii="Arial" w:hAnsi="Arial" w:cs="Arial"/>
          <w:color w:val="222222"/>
          <w:szCs w:val="20"/>
          <w:shd w:val="clear" w:color="auto" w:fill="FFFFFF"/>
        </w:rPr>
        <w:t>M.,</w:t>
      </w:r>
      <w:r w:rsidR="000E2DE9"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 w:rsidRPr="0038778D">
        <w:rPr>
          <w:rFonts w:ascii="Arial" w:hAnsi="Arial" w:cs="Arial"/>
          <w:color w:val="222222"/>
          <w:szCs w:val="20"/>
          <w:shd w:val="clear" w:color="auto" w:fill="FFFFFF"/>
        </w:rPr>
        <w:t>Maditinos,</w:t>
      </w:r>
      <w:r w:rsidR="000E2DE9"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 w:rsidRPr="0038778D">
        <w:rPr>
          <w:rFonts w:ascii="Arial" w:hAnsi="Arial" w:cs="Arial"/>
          <w:color w:val="222222"/>
          <w:szCs w:val="20"/>
          <w:shd w:val="clear" w:color="auto" w:fill="FFFFFF"/>
        </w:rPr>
        <w:t>D.</w:t>
      </w:r>
      <w:r w:rsidR="000E2DE9"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 w:rsidRPr="0038778D">
        <w:rPr>
          <w:rFonts w:ascii="Arial" w:hAnsi="Arial" w:cs="Arial"/>
          <w:color w:val="222222"/>
          <w:szCs w:val="20"/>
          <w:shd w:val="clear" w:color="auto" w:fill="FFFFFF"/>
        </w:rPr>
        <w:t>and</w:t>
      </w:r>
      <w:r w:rsidR="000E2DE9"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 w:rsidRPr="0038778D">
        <w:rPr>
          <w:rFonts w:ascii="Arial" w:hAnsi="Arial" w:cs="Arial"/>
          <w:color w:val="222222"/>
          <w:szCs w:val="20"/>
          <w:shd w:val="clear" w:color="auto" w:fill="FFFFFF"/>
        </w:rPr>
        <w:t>Peiseniece,</w:t>
      </w:r>
      <w:r w:rsidR="000E2DE9"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 w:rsidRPr="0038778D">
        <w:rPr>
          <w:rFonts w:ascii="Arial" w:hAnsi="Arial" w:cs="Arial"/>
          <w:color w:val="222222"/>
          <w:szCs w:val="20"/>
          <w:shd w:val="clear" w:color="auto" w:fill="FFFFFF"/>
        </w:rPr>
        <w:t>L.</w:t>
      </w:r>
      <w:r w:rsidR="000E2DE9">
        <w:rPr>
          <w:rFonts w:ascii="Arial" w:hAnsi="Arial" w:cs="Arial"/>
          <w:color w:val="222222"/>
          <w:szCs w:val="20"/>
          <w:shd w:val="clear" w:color="auto" w:fill="FFFFFF"/>
        </w:rPr>
        <w:t xml:space="preserve"> </w:t>
      </w:r>
      <w:r w:rsidRPr="0038778D">
        <w:rPr>
          <w:rFonts w:ascii="Arial" w:hAnsi="Arial" w:cs="Arial"/>
          <w:color w:val="222222"/>
          <w:szCs w:val="20"/>
          <w:shd w:val="clear" w:color="auto" w:fill="FFFFFF"/>
        </w:rPr>
        <w:t>(Eds):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Digital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Transformation,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Strategic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Resilience,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Cyber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Security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and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Risk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Management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(pp.143-153).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Emerald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Publishing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Limited.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</w:p>
    <w:p w14:paraId="5E913696" w14:textId="29217201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Parry,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Black,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M.S.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Zhunussova,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K.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(2022):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Carbon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Taxes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or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Emissions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Trading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Systems?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instrument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Choice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and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Design</w:t>
      </w:r>
      <w:r w:rsidRPr="0038778D">
        <w:rPr>
          <w:rFonts w:ascii="Arial" w:hAnsi="Arial"/>
          <w:noProof w:val="0"/>
          <w:szCs w:val="24"/>
          <w:lang w:val="en-GB"/>
        </w:rPr>
        <w:t>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IMF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Staff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Climate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Note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2022/006.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International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Monetary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Fund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Washington,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DC,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USA.</w:t>
      </w:r>
    </w:p>
    <w:p w14:paraId="03E7FEC6" w14:textId="5F4C41F4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Poncibo,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(2022):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The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Contract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Governance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of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Sustainable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Development.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Isaidat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Law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Review</w:t>
      </w:r>
      <w:r w:rsidRPr="0038778D">
        <w:rPr>
          <w:rFonts w:ascii="Arial" w:hAnsi="Arial"/>
          <w:noProof w:val="0"/>
          <w:szCs w:val="24"/>
          <w:lang w:val="en-GB"/>
        </w:rPr>
        <w:t>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Vol.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1,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pp.35-56.</w:t>
      </w:r>
    </w:p>
    <w:p w14:paraId="7625A314" w14:textId="19221501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Ramos,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Mannan,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(Eds)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(2022):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Watch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the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Gap: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Making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code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more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intelligible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to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users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without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sacrificing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decentralization?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2022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IEEE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24th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Conference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on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Business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Informatics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(CBI)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(Vol.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2,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pp.133-139)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IEEE.</w:t>
      </w:r>
    </w:p>
    <w:p w14:paraId="1CEE3C77" w14:textId="3F221464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Sherman,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Momani,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B.T.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(2025):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Alternative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dispute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resolution: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Mediation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model.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F1000Research</w:t>
      </w:r>
      <w:r w:rsidRPr="0038778D">
        <w:rPr>
          <w:rFonts w:ascii="Arial" w:hAnsi="Arial"/>
          <w:noProof w:val="0"/>
          <w:szCs w:val="24"/>
          <w:lang w:val="en-GB"/>
        </w:rPr>
        <w:t>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Vol.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13,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p.778.</w:t>
      </w:r>
    </w:p>
    <w:p w14:paraId="7A9260FE" w14:textId="2303828A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Tullis,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Constantine,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Cooper,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(2024):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Electronic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Signatures: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Enabling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Trusted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Digital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Transformation.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World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Bank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digital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transformation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white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paper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series</w:t>
      </w:r>
      <w:r w:rsidRPr="0038778D">
        <w:rPr>
          <w:rFonts w:ascii="Arial" w:hAnsi="Arial"/>
          <w:noProof w:val="0"/>
          <w:szCs w:val="24"/>
          <w:lang w:val="en-GB"/>
        </w:rPr>
        <w:t>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Available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at: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hyperlink r:id="rId10" w:tgtFrame="_blank" w:history="1">
        <w:r w:rsidRPr="0038778D">
          <w:rPr>
            <w:rStyle w:val="Hyperlink"/>
            <w:rFonts w:ascii="Arial" w:hAnsi="Arial"/>
            <w:color w:val="505050"/>
            <w:shd w:val="clear" w:color="auto" w:fill="FFFFFF"/>
          </w:rPr>
          <w:t>https://ssrn.com/abstract=5180929</w:t>
        </w:r>
      </w:hyperlink>
      <w:r w:rsidR="000E2DE9">
        <w:rPr>
          <w:rFonts w:ascii="Arial" w:hAnsi="Arial"/>
          <w:color w:val="505050"/>
          <w:shd w:val="clear" w:color="auto" w:fill="FFFFFF"/>
        </w:rPr>
        <w:t xml:space="preserve"> </w:t>
      </w:r>
      <w:r w:rsidRPr="0038778D">
        <w:rPr>
          <w:rFonts w:ascii="Arial" w:hAnsi="Arial"/>
          <w:color w:val="505050"/>
          <w:shd w:val="clear" w:color="auto" w:fill="FFFFFF"/>
        </w:rPr>
        <w:t>or</w:t>
      </w:r>
      <w:r w:rsidR="000E2DE9">
        <w:rPr>
          <w:rFonts w:ascii="Arial" w:hAnsi="Arial"/>
          <w:color w:val="505050"/>
          <w:shd w:val="clear" w:color="auto" w:fill="FFFFFF"/>
        </w:rPr>
        <w:t xml:space="preserve"> </w:t>
      </w:r>
      <w:hyperlink r:id="rId11" w:tgtFrame="_blank" w:history="1">
        <w:r w:rsidRPr="0038778D">
          <w:rPr>
            <w:rStyle w:val="Hyperlink"/>
            <w:rFonts w:ascii="Arial" w:hAnsi="Arial"/>
            <w:color w:val="505050"/>
            <w:shd w:val="clear" w:color="auto" w:fill="FFFFFF"/>
          </w:rPr>
          <w:t>http://dx.doi.org/10.2139/ssrn.5180929</w:t>
        </w:r>
      </w:hyperlink>
      <w:r w:rsidRPr="0038778D">
        <w:rPr>
          <w:rFonts w:ascii="Arial" w:hAnsi="Arial"/>
        </w:rPr>
        <w:t>.</w:t>
      </w:r>
      <w:r w:rsidR="000E2DE9">
        <w:rPr>
          <w:rFonts w:ascii="Arial" w:hAnsi="Arial"/>
        </w:rPr>
        <w:t xml:space="preserve"> </w:t>
      </w:r>
      <w:r w:rsidRPr="0038778D">
        <w:rPr>
          <w:rFonts w:ascii="Arial" w:hAnsi="Arial"/>
        </w:rPr>
        <w:t>47pp.</w:t>
      </w:r>
      <w:r w:rsidR="000E2DE9">
        <w:rPr>
          <w:rFonts w:ascii="Arial" w:hAnsi="Arial"/>
        </w:rPr>
        <w:t xml:space="preserve"> </w:t>
      </w:r>
    </w:p>
    <w:p w14:paraId="5C9FE037" w14:textId="1BC46F9B" w:rsidR="0038778D" w:rsidRPr="0038778D" w:rsidRDefault="0038778D" w:rsidP="0038778D">
      <w:pPr>
        <w:spacing w:before="120" w:after="120" w:line="240" w:lineRule="auto"/>
        <w:ind w:left="357" w:hanging="357"/>
        <w:jc w:val="both"/>
        <w:rPr>
          <w:rFonts w:ascii="Arial" w:hAnsi="Arial"/>
          <w:szCs w:val="24"/>
        </w:rPr>
      </w:pPr>
      <w:r w:rsidRPr="0038778D">
        <w:rPr>
          <w:rFonts w:ascii="Arial" w:hAnsi="Arial"/>
          <w:szCs w:val="24"/>
        </w:rPr>
        <w:t>United</w:t>
      </w:r>
      <w:r w:rsidR="000E2DE9">
        <w:rPr>
          <w:rFonts w:ascii="Arial" w:hAnsi="Arial"/>
          <w:szCs w:val="24"/>
        </w:rPr>
        <w:t xml:space="preserve"> </w:t>
      </w:r>
      <w:r w:rsidRPr="0038778D">
        <w:rPr>
          <w:rFonts w:ascii="Arial" w:hAnsi="Arial"/>
          <w:szCs w:val="24"/>
        </w:rPr>
        <w:t>Nations</w:t>
      </w:r>
      <w:r w:rsidR="000E2DE9">
        <w:rPr>
          <w:rFonts w:ascii="Arial" w:hAnsi="Arial"/>
          <w:szCs w:val="24"/>
        </w:rPr>
        <w:t xml:space="preserve"> </w:t>
      </w:r>
      <w:r w:rsidRPr="0038778D">
        <w:rPr>
          <w:rFonts w:ascii="Arial" w:hAnsi="Arial"/>
          <w:szCs w:val="24"/>
        </w:rPr>
        <w:t>Economic</w:t>
      </w:r>
      <w:r w:rsidR="000E2DE9">
        <w:rPr>
          <w:rFonts w:ascii="Arial" w:hAnsi="Arial"/>
          <w:szCs w:val="24"/>
        </w:rPr>
        <w:t xml:space="preserve"> </w:t>
      </w:r>
      <w:r w:rsidRPr="0038778D">
        <w:rPr>
          <w:rFonts w:ascii="Arial" w:hAnsi="Arial"/>
          <w:szCs w:val="24"/>
        </w:rPr>
        <w:t>and</w:t>
      </w:r>
      <w:r w:rsidR="000E2DE9">
        <w:rPr>
          <w:rFonts w:ascii="Arial" w:hAnsi="Arial"/>
          <w:szCs w:val="24"/>
        </w:rPr>
        <w:t xml:space="preserve"> </w:t>
      </w:r>
      <w:r w:rsidRPr="0038778D">
        <w:rPr>
          <w:rFonts w:ascii="Arial" w:hAnsi="Arial"/>
          <w:szCs w:val="24"/>
        </w:rPr>
        <w:t>Social</w:t>
      </w:r>
      <w:r w:rsidR="000E2DE9">
        <w:rPr>
          <w:rFonts w:ascii="Arial" w:hAnsi="Arial"/>
          <w:szCs w:val="24"/>
        </w:rPr>
        <w:t xml:space="preserve"> </w:t>
      </w:r>
      <w:r w:rsidRPr="0038778D">
        <w:rPr>
          <w:rFonts w:ascii="Arial" w:hAnsi="Arial"/>
          <w:szCs w:val="24"/>
        </w:rPr>
        <w:t>Commission</w:t>
      </w:r>
      <w:r w:rsidR="000E2DE9">
        <w:rPr>
          <w:rFonts w:ascii="Arial" w:hAnsi="Arial"/>
          <w:szCs w:val="24"/>
        </w:rPr>
        <w:t xml:space="preserve"> </w:t>
      </w:r>
      <w:r w:rsidRPr="0038778D">
        <w:rPr>
          <w:rFonts w:ascii="Arial" w:hAnsi="Arial"/>
          <w:szCs w:val="24"/>
        </w:rPr>
        <w:t>for</w:t>
      </w:r>
      <w:r w:rsidR="000E2DE9">
        <w:rPr>
          <w:rFonts w:ascii="Arial" w:hAnsi="Arial"/>
          <w:szCs w:val="24"/>
        </w:rPr>
        <w:t xml:space="preserve"> </w:t>
      </w:r>
      <w:r w:rsidRPr="0038778D">
        <w:rPr>
          <w:rFonts w:ascii="Arial" w:hAnsi="Arial"/>
          <w:szCs w:val="24"/>
        </w:rPr>
        <w:t>Asia</w:t>
      </w:r>
      <w:r w:rsidR="000E2DE9">
        <w:rPr>
          <w:rFonts w:ascii="Arial" w:hAnsi="Arial"/>
          <w:szCs w:val="24"/>
        </w:rPr>
        <w:t xml:space="preserve"> </w:t>
      </w:r>
      <w:r w:rsidRPr="0038778D">
        <w:rPr>
          <w:rFonts w:ascii="Arial" w:hAnsi="Arial"/>
          <w:szCs w:val="24"/>
        </w:rPr>
        <w:t>and</w:t>
      </w:r>
      <w:r w:rsidR="000E2DE9">
        <w:rPr>
          <w:rFonts w:ascii="Arial" w:hAnsi="Arial"/>
          <w:szCs w:val="24"/>
        </w:rPr>
        <w:t xml:space="preserve"> </w:t>
      </w:r>
      <w:r w:rsidRPr="0038778D">
        <w:rPr>
          <w:rFonts w:ascii="Arial" w:hAnsi="Arial"/>
          <w:szCs w:val="24"/>
        </w:rPr>
        <w:t>the</w:t>
      </w:r>
      <w:r w:rsidR="000E2DE9">
        <w:rPr>
          <w:rFonts w:ascii="Arial" w:hAnsi="Arial"/>
          <w:szCs w:val="24"/>
        </w:rPr>
        <w:t xml:space="preserve"> </w:t>
      </w:r>
      <w:r w:rsidRPr="0038778D">
        <w:rPr>
          <w:rFonts w:ascii="Arial" w:hAnsi="Arial"/>
          <w:szCs w:val="24"/>
        </w:rPr>
        <w:t>Pacific</w:t>
      </w:r>
      <w:r w:rsidR="000E2DE9">
        <w:rPr>
          <w:rFonts w:ascii="Arial" w:hAnsi="Arial"/>
          <w:szCs w:val="24"/>
        </w:rPr>
        <w:t xml:space="preserve"> </w:t>
      </w:r>
      <w:r w:rsidRPr="0038778D">
        <w:rPr>
          <w:rFonts w:ascii="Arial" w:hAnsi="Arial"/>
          <w:szCs w:val="24"/>
        </w:rPr>
        <w:t>(UN</w:t>
      </w:r>
      <w:r w:rsidR="000E2DE9">
        <w:rPr>
          <w:rFonts w:ascii="Arial" w:hAnsi="Arial"/>
          <w:szCs w:val="24"/>
        </w:rPr>
        <w:t xml:space="preserve"> </w:t>
      </w:r>
      <w:r w:rsidRPr="0038778D">
        <w:rPr>
          <w:rFonts w:ascii="Arial" w:hAnsi="Arial"/>
          <w:szCs w:val="24"/>
        </w:rPr>
        <w:t>ESCAP)</w:t>
      </w:r>
      <w:r w:rsidR="000E2DE9">
        <w:rPr>
          <w:rFonts w:ascii="Arial" w:hAnsi="Arial"/>
          <w:szCs w:val="24"/>
        </w:rPr>
        <w:t xml:space="preserve"> </w:t>
      </w:r>
      <w:r w:rsidRPr="0038778D">
        <w:rPr>
          <w:rFonts w:ascii="Arial" w:hAnsi="Arial"/>
          <w:szCs w:val="24"/>
        </w:rPr>
        <w:t>(2020):</w:t>
      </w:r>
      <w:r w:rsidR="000E2DE9">
        <w:rPr>
          <w:rFonts w:ascii="Arial" w:hAnsi="Arial"/>
          <w:szCs w:val="24"/>
        </w:rPr>
        <w:t xml:space="preserve"> </w:t>
      </w:r>
      <w:r w:rsidRPr="0038778D">
        <w:rPr>
          <w:rFonts w:ascii="Arial" w:hAnsi="Arial"/>
          <w:i/>
          <w:iCs/>
          <w:szCs w:val="24"/>
        </w:rPr>
        <w:t>Asia</w:t>
      </w:r>
      <w:r w:rsidR="000E2DE9">
        <w:rPr>
          <w:rFonts w:ascii="Arial" w:hAnsi="Arial"/>
          <w:i/>
          <w:iCs/>
          <w:szCs w:val="24"/>
        </w:rPr>
        <w:t xml:space="preserve"> </w:t>
      </w:r>
      <w:r w:rsidRPr="0038778D">
        <w:rPr>
          <w:rFonts w:ascii="Arial" w:hAnsi="Arial"/>
          <w:i/>
          <w:iCs/>
          <w:szCs w:val="24"/>
        </w:rPr>
        <w:t>and</w:t>
      </w:r>
      <w:r w:rsidR="000E2DE9">
        <w:rPr>
          <w:rFonts w:ascii="Arial" w:hAnsi="Arial"/>
          <w:i/>
          <w:iCs/>
          <w:szCs w:val="24"/>
        </w:rPr>
        <w:t xml:space="preserve"> </w:t>
      </w:r>
      <w:r w:rsidRPr="0038778D">
        <w:rPr>
          <w:rFonts w:ascii="Arial" w:hAnsi="Arial"/>
          <w:i/>
          <w:iCs/>
          <w:szCs w:val="24"/>
        </w:rPr>
        <w:t>the</w:t>
      </w:r>
      <w:r w:rsidR="000E2DE9">
        <w:rPr>
          <w:rFonts w:ascii="Arial" w:hAnsi="Arial"/>
          <w:i/>
          <w:iCs/>
          <w:szCs w:val="24"/>
        </w:rPr>
        <w:t xml:space="preserve"> </w:t>
      </w:r>
      <w:r w:rsidRPr="0038778D">
        <w:rPr>
          <w:rFonts w:ascii="Arial" w:hAnsi="Arial"/>
          <w:i/>
          <w:iCs/>
          <w:szCs w:val="24"/>
        </w:rPr>
        <w:t>Pacific</w:t>
      </w:r>
      <w:r w:rsidR="000E2DE9">
        <w:rPr>
          <w:rFonts w:ascii="Arial" w:hAnsi="Arial"/>
          <w:i/>
          <w:iCs/>
          <w:szCs w:val="24"/>
        </w:rPr>
        <w:t xml:space="preserve"> </w:t>
      </w:r>
      <w:r w:rsidRPr="0038778D">
        <w:rPr>
          <w:rFonts w:ascii="Arial" w:hAnsi="Arial"/>
          <w:i/>
          <w:iCs/>
          <w:szCs w:val="24"/>
        </w:rPr>
        <w:t>SDG</w:t>
      </w:r>
      <w:r w:rsidR="000E2DE9">
        <w:rPr>
          <w:rFonts w:ascii="Arial" w:hAnsi="Arial"/>
          <w:i/>
          <w:iCs/>
          <w:szCs w:val="24"/>
        </w:rPr>
        <w:t xml:space="preserve"> </w:t>
      </w:r>
      <w:r w:rsidRPr="0038778D">
        <w:rPr>
          <w:rFonts w:ascii="Arial" w:hAnsi="Arial"/>
          <w:i/>
          <w:iCs/>
          <w:szCs w:val="24"/>
        </w:rPr>
        <w:t>Progress</w:t>
      </w:r>
      <w:r w:rsidR="000E2DE9">
        <w:rPr>
          <w:rFonts w:ascii="Arial" w:hAnsi="Arial"/>
          <w:i/>
          <w:iCs/>
          <w:szCs w:val="24"/>
        </w:rPr>
        <w:t xml:space="preserve"> </w:t>
      </w:r>
      <w:r w:rsidRPr="0038778D">
        <w:rPr>
          <w:rFonts w:ascii="Arial" w:hAnsi="Arial"/>
          <w:i/>
          <w:iCs/>
          <w:szCs w:val="24"/>
        </w:rPr>
        <w:t>Report</w:t>
      </w:r>
      <w:r w:rsidR="000E2DE9">
        <w:rPr>
          <w:rFonts w:ascii="Arial" w:hAnsi="Arial"/>
          <w:i/>
          <w:iCs/>
          <w:szCs w:val="24"/>
        </w:rPr>
        <w:t xml:space="preserve"> </w:t>
      </w:r>
      <w:r w:rsidRPr="0038778D">
        <w:rPr>
          <w:rFonts w:ascii="Arial" w:hAnsi="Arial"/>
          <w:i/>
          <w:iCs/>
          <w:szCs w:val="24"/>
        </w:rPr>
        <w:t>2020</w:t>
      </w:r>
      <w:r w:rsidRPr="0038778D">
        <w:rPr>
          <w:rFonts w:ascii="Arial" w:hAnsi="Arial"/>
          <w:szCs w:val="24"/>
        </w:rPr>
        <w:t>.</w:t>
      </w:r>
      <w:r w:rsidR="000E2DE9">
        <w:rPr>
          <w:rFonts w:ascii="Arial" w:hAnsi="Arial"/>
          <w:szCs w:val="24"/>
        </w:rPr>
        <w:t xml:space="preserve"> </w:t>
      </w:r>
      <w:r w:rsidRPr="0038778D">
        <w:rPr>
          <w:rFonts w:ascii="Arial" w:hAnsi="Arial"/>
          <w:szCs w:val="24"/>
        </w:rPr>
        <w:t>Bangkok:</w:t>
      </w:r>
      <w:r w:rsidR="000E2DE9">
        <w:rPr>
          <w:rFonts w:ascii="Arial" w:hAnsi="Arial"/>
          <w:szCs w:val="24"/>
        </w:rPr>
        <w:t xml:space="preserve"> </w:t>
      </w:r>
      <w:r w:rsidRPr="0038778D">
        <w:rPr>
          <w:rFonts w:ascii="Arial" w:hAnsi="Arial"/>
          <w:szCs w:val="24"/>
        </w:rPr>
        <w:t>United</w:t>
      </w:r>
      <w:r w:rsidR="000E2DE9">
        <w:rPr>
          <w:rFonts w:ascii="Arial" w:hAnsi="Arial"/>
          <w:szCs w:val="24"/>
        </w:rPr>
        <w:t xml:space="preserve"> </w:t>
      </w:r>
      <w:r w:rsidRPr="0038778D">
        <w:rPr>
          <w:rFonts w:ascii="Arial" w:hAnsi="Arial"/>
          <w:szCs w:val="24"/>
        </w:rPr>
        <w:t>Nations</w:t>
      </w:r>
      <w:r w:rsidR="000E2DE9">
        <w:rPr>
          <w:rFonts w:ascii="Arial" w:hAnsi="Arial"/>
          <w:szCs w:val="24"/>
        </w:rPr>
        <w:t xml:space="preserve"> </w:t>
      </w:r>
      <w:r w:rsidRPr="0038778D">
        <w:rPr>
          <w:rFonts w:ascii="Arial" w:hAnsi="Arial"/>
          <w:szCs w:val="24"/>
        </w:rPr>
        <w:t>ESCAP.</w:t>
      </w:r>
    </w:p>
    <w:p w14:paraId="7C698634" w14:textId="1C3BA8CA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Vig,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N.J.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(2023):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Introduction: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Governing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the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international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environment.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Vig,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N.J.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Axelrod,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R.S.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(Eds):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The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global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environment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(pp.1-26).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Routledge.</w:t>
      </w:r>
    </w:p>
    <w:p w14:paraId="774E6C21" w14:textId="7B63F8B1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t>Walsh,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P.P.,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Banerjee,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Murphy,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(2022):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The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UN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2030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agenda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for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sustainable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development.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Murphy,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E.,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Banerjee,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Walsh,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P.P.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(Eds):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Partnerships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and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the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Sustainable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Development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Goals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(pp.1-12).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Cham: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Springer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International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Publishing.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</w:p>
    <w:p w14:paraId="169715EB" w14:textId="1C94E822" w:rsidR="0038778D" w:rsidRPr="0038778D" w:rsidRDefault="0038778D" w:rsidP="0038778D">
      <w:pPr>
        <w:pStyle w:val="EndNoteBibliography"/>
        <w:spacing w:before="120" w:after="120"/>
        <w:ind w:left="357" w:hanging="357"/>
        <w:jc w:val="both"/>
        <w:rPr>
          <w:rFonts w:ascii="Arial" w:hAnsi="Arial"/>
          <w:noProof w:val="0"/>
          <w:szCs w:val="24"/>
          <w:lang w:val="en-GB"/>
        </w:rPr>
      </w:pPr>
      <w:r w:rsidRPr="0038778D">
        <w:rPr>
          <w:rFonts w:ascii="Arial" w:hAnsi="Arial"/>
          <w:noProof w:val="0"/>
          <w:szCs w:val="24"/>
          <w:lang w:val="en-GB"/>
        </w:rPr>
        <w:lastRenderedPageBreak/>
        <w:t>Zhang,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Y.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(2024):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Research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Dispute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Resolution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Mechanism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for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Construction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Contract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Disputes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Based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on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Civil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and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Commercial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Laws.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Science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of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Law</w:t>
      </w:r>
      <w:r w:rsidR="000E2DE9">
        <w:rPr>
          <w:rFonts w:ascii="Arial" w:hAnsi="Arial"/>
          <w:i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i/>
          <w:noProof w:val="0"/>
          <w:szCs w:val="24"/>
          <w:lang w:val="en-GB"/>
        </w:rPr>
        <w:t>Journal</w:t>
      </w:r>
      <w:r w:rsidRPr="0038778D">
        <w:rPr>
          <w:rFonts w:ascii="Arial" w:hAnsi="Arial"/>
          <w:noProof w:val="0"/>
          <w:szCs w:val="24"/>
          <w:lang w:val="en-GB"/>
        </w:rPr>
        <w:t>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Vol.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3,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No.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1,</w:t>
      </w:r>
      <w:r w:rsidR="000E2DE9">
        <w:rPr>
          <w:rFonts w:ascii="Arial" w:hAnsi="Arial"/>
          <w:noProof w:val="0"/>
          <w:szCs w:val="24"/>
          <w:lang w:val="en-GB"/>
        </w:rPr>
        <w:t xml:space="preserve"> </w:t>
      </w:r>
      <w:r w:rsidRPr="0038778D">
        <w:rPr>
          <w:rFonts w:ascii="Arial" w:hAnsi="Arial"/>
          <w:noProof w:val="0"/>
          <w:szCs w:val="24"/>
          <w:lang w:val="en-GB"/>
        </w:rPr>
        <w:t>pp.10-14.</w:t>
      </w:r>
    </w:p>
    <w:p w14:paraId="3BF947E8" w14:textId="6E9683A3" w:rsidR="003A0B60" w:rsidRPr="00840ECC" w:rsidRDefault="00904CDF" w:rsidP="0038778D">
      <w:pPr>
        <w:pStyle w:val="ListParagraph"/>
        <w:tabs>
          <w:tab w:val="left" w:pos="2800"/>
        </w:tabs>
        <w:spacing w:before="240" w:after="120" w:line="240" w:lineRule="auto"/>
        <w:ind w:left="0"/>
        <w:contextualSpacing w:val="0"/>
        <w:jc w:val="both"/>
        <w:rPr>
          <w:rFonts w:ascii="Arial" w:hAnsi="Arial"/>
          <w:szCs w:val="24"/>
          <w:lang w:val="en-GB"/>
        </w:rPr>
      </w:pPr>
      <w:r w:rsidRPr="00840ECC">
        <w:rPr>
          <w:rFonts w:ascii="Arial" w:hAnsi="Arial"/>
          <w:b/>
          <w:color w:val="FF0000"/>
          <w:szCs w:val="24"/>
          <w:lang w:val="en-GB"/>
        </w:rPr>
        <w:t>BIOGRAPHY</w:t>
      </w:r>
    </w:p>
    <w:p w14:paraId="48828ADA" w14:textId="77777777" w:rsidR="00840ECC" w:rsidRPr="00840ECC" w:rsidRDefault="00840ECC" w:rsidP="00840ECC">
      <w:pPr>
        <w:pStyle w:val="NormalWeb"/>
        <w:jc w:val="both"/>
        <w:rPr>
          <w:rFonts w:ascii="Arial" w:hAnsi="Arial"/>
        </w:rPr>
      </w:pPr>
      <w:r w:rsidRPr="00840ECC">
        <w:rPr>
          <w:rFonts w:ascii="Arial" w:hAnsi="Arial"/>
          <w:noProof/>
        </w:rPr>
        <w:drawing>
          <wp:inline distT="0" distB="0" distL="0" distR="0" wp14:anchorId="7E826F49" wp14:editId="6CF4455E">
            <wp:extent cx="1076325" cy="148986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59859" w14:textId="342E0C93" w:rsidR="00840ECC" w:rsidRPr="00864AB6" w:rsidRDefault="00840ECC" w:rsidP="00840ECC">
      <w:pPr>
        <w:spacing w:line="240" w:lineRule="auto"/>
        <w:jc w:val="both"/>
        <w:rPr>
          <w:rFonts w:ascii="Arial" w:hAnsi="Arial"/>
          <w:lang w:val="en-GB"/>
        </w:rPr>
      </w:pPr>
      <w:r w:rsidRPr="0038778D">
        <w:rPr>
          <w:rFonts w:ascii="Arial" w:hAnsi="Arial"/>
          <w:b/>
          <w:lang w:val="en-GB"/>
        </w:rPr>
        <w:t>Dr</w:t>
      </w:r>
      <w:r w:rsidR="000E2DE9">
        <w:rPr>
          <w:rFonts w:ascii="Arial" w:hAnsi="Arial"/>
          <w:b/>
          <w:lang w:val="en-GB"/>
        </w:rPr>
        <w:t xml:space="preserve"> </w:t>
      </w:r>
      <w:r w:rsidRPr="0038778D">
        <w:rPr>
          <w:rFonts w:ascii="Arial" w:hAnsi="Arial"/>
          <w:b/>
          <w:lang w:val="en-GB"/>
        </w:rPr>
        <w:t>Salahaldin</w:t>
      </w:r>
      <w:r w:rsidR="000E2DE9">
        <w:rPr>
          <w:rFonts w:ascii="Arial" w:hAnsi="Arial"/>
          <w:b/>
          <w:lang w:val="en-GB"/>
        </w:rPr>
        <w:t xml:space="preserve"> </w:t>
      </w:r>
      <w:r w:rsidR="00864AB6" w:rsidRPr="0038778D">
        <w:rPr>
          <w:rFonts w:ascii="Arial" w:hAnsi="Arial"/>
          <w:b/>
          <w:lang w:val="en-GB"/>
        </w:rPr>
        <w:t>Abdulkader</w:t>
      </w:r>
      <w:r w:rsidR="000E2DE9">
        <w:rPr>
          <w:rFonts w:ascii="Arial" w:hAnsi="Arial"/>
          <w:b/>
          <w:lang w:val="en-GB"/>
        </w:rPr>
        <w:t xml:space="preserve"> </w:t>
      </w:r>
      <w:r w:rsidRPr="0038778D">
        <w:rPr>
          <w:rFonts w:ascii="Arial" w:hAnsi="Arial"/>
          <w:b/>
          <w:lang w:val="en-GB"/>
        </w:rPr>
        <w:t>Jebarah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is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seasoned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legal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scholar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practitioner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with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extensive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academic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professional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experience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across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Sudan,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Netherlands,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UK,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Gulf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region.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He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holds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PhD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Commercial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from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University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Wolverhampton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an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LLM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International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Business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Commercial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from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University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West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London.</w:t>
      </w:r>
      <w:r w:rsidR="000E2DE9">
        <w:rPr>
          <w:rFonts w:ascii="Arial" w:hAnsi="Arial"/>
          <w:lang w:val="en-GB"/>
        </w:rPr>
        <w:t xml:space="preserve"> </w:t>
      </w:r>
      <w:r w:rsidR="00864AB6">
        <w:rPr>
          <w:rFonts w:ascii="Arial" w:hAnsi="Arial"/>
          <w:lang w:val="en-GB"/>
        </w:rPr>
        <w:t>Dr</w:t>
      </w:r>
      <w:r w:rsidR="000E2DE9">
        <w:rPr>
          <w:rFonts w:ascii="Arial" w:hAnsi="Arial"/>
          <w:lang w:val="en-GB"/>
        </w:rPr>
        <w:t xml:space="preserve"> </w:t>
      </w:r>
      <w:r w:rsidR="00864AB6">
        <w:rPr>
          <w:rFonts w:ascii="Arial" w:hAnsi="Arial"/>
          <w:lang w:val="en-GB"/>
        </w:rPr>
        <w:t>Jebarah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has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practiced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solicitor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UK</w:t>
      </w:r>
      <w:r w:rsidR="00864AB6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has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served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judicial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trainer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for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Sudanese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Ministry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Justice</w:t>
      </w:r>
      <w:r w:rsidR="00864AB6">
        <w:rPr>
          <w:rFonts w:ascii="Arial" w:hAnsi="Arial"/>
          <w:lang w:val="en-GB"/>
        </w:rPr>
        <w:t>,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previously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led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College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at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Gulf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University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Bahrain.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He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is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currently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expert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Commercial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Department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at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College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Business,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Sohar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University,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Oman.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He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has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published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widely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in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the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fields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of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commercial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law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and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dispute</w:t>
      </w:r>
      <w:r w:rsidR="000E2DE9">
        <w:rPr>
          <w:rFonts w:ascii="Arial" w:hAnsi="Arial"/>
          <w:lang w:val="en-GB"/>
        </w:rPr>
        <w:t xml:space="preserve"> </w:t>
      </w:r>
      <w:r w:rsidRPr="00864AB6">
        <w:rPr>
          <w:rFonts w:ascii="Arial" w:hAnsi="Arial"/>
          <w:lang w:val="en-GB"/>
        </w:rPr>
        <w:t>resolution</w:t>
      </w:r>
    </w:p>
    <w:p w14:paraId="7813E5D4" w14:textId="19B70F84" w:rsidR="00904CDF" w:rsidRPr="00840ECC" w:rsidRDefault="00904CDF">
      <w:pPr>
        <w:rPr>
          <w:rFonts w:ascii="Arial" w:hAnsi="Arial"/>
          <w:szCs w:val="24"/>
          <w:lang w:val="en-GB"/>
        </w:rPr>
      </w:pPr>
    </w:p>
    <w:sectPr w:rsidR="00904CDF" w:rsidRPr="00840ECC" w:rsidSect="00904CDF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F564B6"/>
    <w:multiLevelType w:val="hybridMultilevel"/>
    <w:tmpl w:val="B16E6166"/>
    <w:lvl w:ilvl="0" w:tplc="617A11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A13B5"/>
    <w:multiLevelType w:val="hybridMultilevel"/>
    <w:tmpl w:val="8CCE450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DB47B5B"/>
    <w:multiLevelType w:val="hybridMultilevel"/>
    <w:tmpl w:val="5C0EE87E"/>
    <w:lvl w:ilvl="0" w:tplc="64B4DA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F510A"/>
    <w:multiLevelType w:val="hybridMultilevel"/>
    <w:tmpl w:val="5E229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97EED"/>
    <w:multiLevelType w:val="hybridMultilevel"/>
    <w:tmpl w:val="54303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4484">
    <w:abstractNumId w:val="8"/>
  </w:num>
  <w:num w:numId="2" w16cid:durableId="1460763950">
    <w:abstractNumId w:val="6"/>
  </w:num>
  <w:num w:numId="3" w16cid:durableId="1821382369">
    <w:abstractNumId w:val="5"/>
  </w:num>
  <w:num w:numId="4" w16cid:durableId="1051344329">
    <w:abstractNumId w:val="4"/>
  </w:num>
  <w:num w:numId="5" w16cid:durableId="1397631793">
    <w:abstractNumId w:val="7"/>
  </w:num>
  <w:num w:numId="6" w16cid:durableId="808285992">
    <w:abstractNumId w:val="3"/>
  </w:num>
  <w:num w:numId="7" w16cid:durableId="129445223">
    <w:abstractNumId w:val="2"/>
  </w:num>
  <w:num w:numId="8" w16cid:durableId="1665815712">
    <w:abstractNumId w:val="1"/>
  </w:num>
  <w:num w:numId="9" w16cid:durableId="1055542308">
    <w:abstractNumId w:val="0"/>
  </w:num>
  <w:num w:numId="10" w16cid:durableId="1756438451">
    <w:abstractNumId w:val="13"/>
  </w:num>
  <w:num w:numId="11" w16cid:durableId="549921573">
    <w:abstractNumId w:val="11"/>
  </w:num>
  <w:num w:numId="12" w16cid:durableId="1063143891">
    <w:abstractNumId w:val="10"/>
  </w:num>
  <w:num w:numId="13" w16cid:durableId="931354260">
    <w:abstractNumId w:val="9"/>
  </w:num>
  <w:num w:numId="14" w16cid:durableId="16364527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1sDA2Nje0NDYytTRV0lEKTi0uzszPAykwqwUAdPiPh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mbri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tpf909f6ezpxpevwpb59a5na0ef2axxx0zf&quot;&gt;My EndNote Library2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/record-ids&gt;&lt;/item&gt;&lt;item db-id=&quot;2vtxfszxjrfsx2exff0xppzta25essvat9rs&quot;&gt;My EndNote Library3&lt;record-ids&gt;&lt;item&gt;1&lt;/item&gt;&lt;/record-ids&gt;&lt;/item&gt;&lt;item db-id=&quot;e5v5s5rv9rt2s3e55s3v9rfizwzrwpasevre&quot;&gt;My EndNote Library1&lt;record-ids&gt;&lt;item&gt;1&lt;/item&gt;&lt;item&gt;3&lt;/item&gt;&lt;item&gt;4&lt;/item&gt;&lt;item&gt;5&lt;/item&gt;&lt;item&gt;6&lt;/item&gt;&lt;item&gt;7&lt;/item&gt;&lt;item&gt;8&lt;/item&gt;&lt;item&gt;9&lt;/item&gt;&lt;item&gt;10&lt;/item&gt;&lt;/record-ids&gt;&lt;/item&gt;&lt;item db-id=&quot;sp9xxede50sxx2er25b5wpe3v9f5asdf0s5f&quot;&gt;My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/record-ids&gt;&lt;/item&gt;&lt;/Libraries&gt;"/>
  </w:docVars>
  <w:rsids>
    <w:rsidRoot w:val="00B47730"/>
    <w:rsid w:val="00026FC9"/>
    <w:rsid w:val="00034503"/>
    <w:rsid w:val="00034616"/>
    <w:rsid w:val="00035601"/>
    <w:rsid w:val="00054DAE"/>
    <w:rsid w:val="0006063C"/>
    <w:rsid w:val="00060C08"/>
    <w:rsid w:val="000715D2"/>
    <w:rsid w:val="000933E6"/>
    <w:rsid w:val="000951F5"/>
    <w:rsid w:val="000B748B"/>
    <w:rsid w:val="000C1EEF"/>
    <w:rsid w:val="000C46C6"/>
    <w:rsid w:val="000D718E"/>
    <w:rsid w:val="000E2DE9"/>
    <w:rsid w:val="00102396"/>
    <w:rsid w:val="00125BFD"/>
    <w:rsid w:val="00142585"/>
    <w:rsid w:val="0015074B"/>
    <w:rsid w:val="00162BDF"/>
    <w:rsid w:val="00165837"/>
    <w:rsid w:val="001742C9"/>
    <w:rsid w:val="00175680"/>
    <w:rsid w:val="001A2783"/>
    <w:rsid w:val="001A539E"/>
    <w:rsid w:val="001A5D2F"/>
    <w:rsid w:val="001C54AF"/>
    <w:rsid w:val="001D0F92"/>
    <w:rsid w:val="001D6190"/>
    <w:rsid w:val="001F4C4F"/>
    <w:rsid w:val="001F6399"/>
    <w:rsid w:val="00222BAA"/>
    <w:rsid w:val="00223294"/>
    <w:rsid w:val="00231274"/>
    <w:rsid w:val="00273402"/>
    <w:rsid w:val="00286EA6"/>
    <w:rsid w:val="0029639D"/>
    <w:rsid w:val="002A14D3"/>
    <w:rsid w:val="002A2304"/>
    <w:rsid w:val="002A5C64"/>
    <w:rsid w:val="002A6498"/>
    <w:rsid w:val="002C5042"/>
    <w:rsid w:val="002C7995"/>
    <w:rsid w:val="002E44E9"/>
    <w:rsid w:val="00300A15"/>
    <w:rsid w:val="00303E77"/>
    <w:rsid w:val="00326F90"/>
    <w:rsid w:val="00327880"/>
    <w:rsid w:val="00337F45"/>
    <w:rsid w:val="0035572B"/>
    <w:rsid w:val="003570FF"/>
    <w:rsid w:val="00361213"/>
    <w:rsid w:val="003617DB"/>
    <w:rsid w:val="003718B6"/>
    <w:rsid w:val="003866B6"/>
    <w:rsid w:val="0038778D"/>
    <w:rsid w:val="0039241C"/>
    <w:rsid w:val="003A0B60"/>
    <w:rsid w:val="003A351D"/>
    <w:rsid w:val="003F4E07"/>
    <w:rsid w:val="00410AEC"/>
    <w:rsid w:val="004268B9"/>
    <w:rsid w:val="00440704"/>
    <w:rsid w:val="004419B5"/>
    <w:rsid w:val="00445CC3"/>
    <w:rsid w:val="00450B34"/>
    <w:rsid w:val="00457E1B"/>
    <w:rsid w:val="00473A15"/>
    <w:rsid w:val="00473F54"/>
    <w:rsid w:val="004747F6"/>
    <w:rsid w:val="0047517A"/>
    <w:rsid w:val="00475194"/>
    <w:rsid w:val="004B20A7"/>
    <w:rsid w:val="004C5B6C"/>
    <w:rsid w:val="004D7752"/>
    <w:rsid w:val="004E501E"/>
    <w:rsid w:val="004F113F"/>
    <w:rsid w:val="004F34F0"/>
    <w:rsid w:val="00512B2B"/>
    <w:rsid w:val="005236BC"/>
    <w:rsid w:val="00525740"/>
    <w:rsid w:val="0052711A"/>
    <w:rsid w:val="00553BB9"/>
    <w:rsid w:val="00562B3E"/>
    <w:rsid w:val="00562B89"/>
    <w:rsid w:val="00567EAF"/>
    <w:rsid w:val="0059763F"/>
    <w:rsid w:val="005A4C6C"/>
    <w:rsid w:val="005B6901"/>
    <w:rsid w:val="005C040E"/>
    <w:rsid w:val="005D0788"/>
    <w:rsid w:val="005F1C26"/>
    <w:rsid w:val="0060060F"/>
    <w:rsid w:val="00604161"/>
    <w:rsid w:val="0062772A"/>
    <w:rsid w:val="0063089D"/>
    <w:rsid w:val="00637D7B"/>
    <w:rsid w:val="0064253B"/>
    <w:rsid w:val="00660506"/>
    <w:rsid w:val="00684790"/>
    <w:rsid w:val="006B6ED0"/>
    <w:rsid w:val="006C4EF3"/>
    <w:rsid w:val="006D4141"/>
    <w:rsid w:val="006D430E"/>
    <w:rsid w:val="0070285A"/>
    <w:rsid w:val="00707604"/>
    <w:rsid w:val="0073160D"/>
    <w:rsid w:val="00745BDE"/>
    <w:rsid w:val="0076083D"/>
    <w:rsid w:val="0076417A"/>
    <w:rsid w:val="00767D7B"/>
    <w:rsid w:val="007C117D"/>
    <w:rsid w:val="007E653E"/>
    <w:rsid w:val="00802BBF"/>
    <w:rsid w:val="008120F3"/>
    <w:rsid w:val="0083763C"/>
    <w:rsid w:val="00840ECC"/>
    <w:rsid w:val="00841D2A"/>
    <w:rsid w:val="0084704A"/>
    <w:rsid w:val="00864AB6"/>
    <w:rsid w:val="008B132A"/>
    <w:rsid w:val="008C0417"/>
    <w:rsid w:val="008C4FDA"/>
    <w:rsid w:val="008C56C1"/>
    <w:rsid w:val="008C6336"/>
    <w:rsid w:val="00904CDF"/>
    <w:rsid w:val="00926AEA"/>
    <w:rsid w:val="009318E7"/>
    <w:rsid w:val="00985255"/>
    <w:rsid w:val="009B6A2F"/>
    <w:rsid w:val="009C57D0"/>
    <w:rsid w:val="009E39C1"/>
    <w:rsid w:val="009F1197"/>
    <w:rsid w:val="009F4E2E"/>
    <w:rsid w:val="00A57398"/>
    <w:rsid w:val="00A70C8F"/>
    <w:rsid w:val="00A84D90"/>
    <w:rsid w:val="00A864A6"/>
    <w:rsid w:val="00A87F2D"/>
    <w:rsid w:val="00A90D8C"/>
    <w:rsid w:val="00AA1D8D"/>
    <w:rsid w:val="00AA436A"/>
    <w:rsid w:val="00AB276D"/>
    <w:rsid w:val="00AC2602"/>
    <w:rsid w:val="00AD1239"/>
    <w:rsid w:val="00AF1D83"/>
    <w:rsid w:val="00AF30DF"/>
    <w:rsid w:val="00AF57A1"/>
    <w:rsid w:val="00B13D63"/>
    <w:rsid w:val="00B47730"/>
    <w:rsid w:val="00B70287"/>
    <w:rsid w:val="00B7393E"/>
    <w:rsid w:val="00B73D68"/>
    <w:rsid w:val="00B808E4"/>
    <w:rsid w:val="00B92E2B"/>
    <w:rsid w:val="00B93CE7"/>
    <w:rsid w:val="00BC4AA8"/>
    <w:rsid w:val="00C1433A"/>
    <w:rsid w:val="00C14E04"/>
    <w:rsid w:val="00C252F9"/>
    <w:rsid w:val="00C70A35"/>
    <w:rsid w:val="00C714F4"/>
    <w:rsid w:val="00CB0664"/>
    <w:rsid w:val="00CE2E93"/>
    <w:rsid w:val="00CF1B8D"/>
    <w:rsid w:val="00CF76A7"/>
    <w:rsid w:val="00D254E0"/>
    <w:rsid w:val="00D3723F"/>
    <w:rsid w:val="00D51941"/>
    <w:rsid w:val="00D566B6"/>
    <w:rsid w:val="00D57B26"/>
    <w:rsid w:val="00D65EE3"/>
    <w:rsid w:val="00D80610"/>
    <w:rsid w:val="00D80D95"/>
    <w:rsid w:val="00D87523"/>
    <w:rsid w:val="00DA3C20"/>
    <w:rsid w:val="00DB2C5E"/>
    <w:rsid w:val="00DC5666"/>
    <w:rsid w:val="00DD2BE4"/>
    <w:rsid w:val="00DD6815"/>
    <w:rsid w:val="00E14AED"/>
    <w:rsid w:val="00E1682C"/>
    <w:rsid w:val="00E22B12"/>
    <w:rsid w:val="00E22CB7"/>
    <w:rsid w:val="00E27934"/>
    <w:rsid w:val="00E342F3"/>
    <w:rsid w:val="00E37F23"/>
    <w:rsid w:val="00E5492E"/>
    <w:rsid w:val="00E55843"/>
    <w:rsid w:val="00E639D9"/>
    <w:rsid w:val="00E645ED"/>
    <w:rsid w:val="00E7053F"/>
    <w:rsid w:val="00E71496"/>
    <w:rsid w:val="00E90969"/>
    <w:rsid w:val="00E9455B"/>
    <w:rsid w:val="00EA3608"/>
    <w:rsid w:val="00EB5B8B"/>
    <w:rsid w:val="00ED2A91"/>
    <w:rsid w:val="00EE0467"/>
    <w:rsid w:val="00EF6771"/>
    <w:rsid w:val="00F07D2A"/>
    <w:rsid w:val="00F101E5"/>
    <w:rsid w:val="00F126C9"/>
    <w:rsid w:val="00F12877"/>
    <w:rsid w:val="00F22213"/>
    <w:rsid w:val="00F4669F"/>
    <w:rsid w:val="00F61016"/>
    <w:rsid w:val="00F650E9"/>
    <w:rsid w:val="00F65D91"/>
    <w:rsid w:val="00F7781D"/>
    <w:rsid w:val="00F978D0"/>
    <w:rsid w:val="00FC693F"/>
    <w:rsid w:val="00FD3AA8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E86CE9"/>
  <w14:defaultImageDpi w14:val="300"/>
  <w15:docId w15:val="{F91DB818-A20B-42FC-B7D0-C5B15101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8752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523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59763F"/>
    <w:pPr>
      <w:spacing w:after="0"/>
      <w:jc w:val="center"/>
    </w:pPr>
    <w:rPr>
      <w:rFonts w:ascii="Cambria" w:hAnsi="Cambria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9763F"/>
    <w:rPr>
      <w:rFonts w:ascii="Cambria" w:hAnsi="Cambria"/>
      <w:noProof/>
    </w:rPr>
  </w:style>
  <w:style w:type="paragraph" w:customStyle="1" w:styleId="EndNoteBibliography">
    <w:name w:val="EndNote Bibliography"/>
    <w:basedOn w:val="Normal"/>
    <w:link w:val="EndNoteBibliographyChar"/>
    <w:rsid w:val="0059763F"/>
    <w:pPr>
      <w:spacing w:line="240" w:lineRule="auto"/>
    </w:pPr>
    <w:rPr>
      <w:rFonts w:ascii="Cambria" w:hAnsi="Cambria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9763F"/>
    <w:rPr>
      <w:rFonts w:ascii="Cambria" w:hAnsi="Cambria"/>
      <w:noProof/>
    </w:rPr>
  </w:style>
  <w:style w:type="table" w:customStyle="1" w:styleId="PlainTable21">
    <w:name w:val="Plain Table 21"/>
    <w:basedOn w:val="TableNormal"/>
    <w:uiPriority w:val="99"/>
    <w:rsid w:val="003557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B7393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4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C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C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4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11-%20jan%20work\allam\journals\papers\wjstsd\2026\vol%2021%20no%204\jebarah\0009-0001-0762-7821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bdulkader@su.edu.om" TargetMode="External"/><Relationship Id="rId11" Type="http://schemas.openxmlformats.org/officeDocument/2006/relationships/hyperlink" Target="https://dx.doi.org/10.2139/ssrn.518092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srn.com/abstract=518092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AA0A9D-8F4A-4CF9-AD7A-0382D8A3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6229</Words>
  <Characters>35508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Allam Ahmed</cp:lastModifiedBy>
  <cp:revision>3</cp:revision>
  <dcterms:created xsi:type="dcterms:W3CDTF">2026-04-29T20:45:00Z</dcterms:created>
  <dcterms:modified xsi:type="dcterms:W3CDTF">2026-05-20T23:57:00Z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688861c2-5378-430a-9431-33c487458f4d</vt:lpwstr>
  </property>
</Properties>
</file>